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rsidTr="00BC2447">
        <w:trPr>
          <w:trHeight w:hRule="exact" w:val="252"/>
        </w:trPr>
        <w:tc>
          <w:tcPr>
            <w:tcW w:w="2142"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rsidR="006C2BE9" w:rsidRPr="000D70B3" w:rsidRDefault="002B745C"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rsidR="006C2BE9" w:rsidRPr="00867B79" w:rsidRDefault="006C2BE9" w:rsidP="006C2BE9">
      <w:pPr>
        <w:tabs>
          <w:tab w:val="left" w:pos="10065"/>
        </w:tabs>
        <w:rPr>
          <w:rFonts w:ascii="Arial" w:hAnsi="Arial" w:cs="Arial"/>
          <w:sz w:val="8"/>
          <w:szCs w:val="8"/>
        </w:rPr>
      </w:pPr>
    </w:p>
    <w:p w:rsidR="00D34318" w:rsidRPr="00B96A14" w:rsidRDefault="00D34318" w:rsidP="00D34318">
      <w:pPr>
        <w:tabs>
          <w:tab w:val="left" w:pos="0"/>
        </w:tabs>
        <w:spacing w:after="60"/>
        <w:jc w:val="both"/>
        <w:rPr>
          <w:rFonts w:ascii="Arial" w:hAnsi="Arial" w:cs="Arial"/>
          <w:sz w:val="22"/>
          <w:szCs w:val="17"/>
        </w:rPr>
      </w:pPr>
      <w:r w:rsidRPr="00B96A14">
        <w:rPr>
          <w:rFonts w:ascii="Arial" w:hAnsi="Arial" w:cs="Arial"/>
          <w:sz w:val="22"/>
          <w:szCs w:val="17"/>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rsidR="00D34318" w:rsidRDefault="00D34318" w:rsidP="00D34318">
      <w:pPr>
        <w:spacing w:after="120"/>
        <w:rPr>
          <w:rFonts w:ascii="Arial" w:hAnsi="Arial" w:cs="Arial"/>
          <w:b/>
          <w:sz w:val="22"/>
          <w:szCs w:val="22"/>
        </w:rPr>
      </w:pPr>
      <w:r w:rsidRPr="00FD2167">
        <w:rPr>
          <w:rFonts w:ascii="Arial" w:hAnsi="Arial" w:cs="Arial"/>
          <w:b/>
          <w:sz w:val="22"/>
          <w:szCs w:val="22"/>
        </w:rPr>
        <w:t>For questions, contact TCEQ Public Drinking Water Section:</w:t>
      </w:r>
      <w:r w:rsidRPr="00FD2167">
        <w:rPr>
          <w:rFonts w:ascii="Arial" w:hAnsi="Arial" w:cs="Arial"/>
          <w:b/>
          <w:sz w:val="22"/>
          <w:szCs w:val="22"/>
        </w:rPr>
        <w:tab/>
        <w:t>512-239-4691</w:t>
      </w:r>
      <w:r w:rsidRPr="00FD2167">
        <w:rPr>
          <w:rFonts w:ascii="Arial" w:hAnsi="Arial" w:cs="Arial"/>
          <w:b/>
          <w:sz w:val="22"/>
          <w:szCs w:val="22"/>
        </w:rPr>
        <w:tab/>
      </w:r>
      <w:hyperlink r:id="rId8" w:history="1">
        <w:r w:rsidRPr="00FD2167">
          <w:rPr>
            <w:rStyle w:val="Hyperlink"/>
            <w:rFonts w:ascii="Arial" w:hAnsi="Arial" w:cs="Arial"/>
            <w:sz w:val="22"/>
            <w:szCs w:val="22"/>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D34318" w:rsidRPr="00B96A14" w:rsidTr="00930163">
        <w:trPr>
          <w:trHeight w:val="297"/>
          <w:jc w:val="center"/>
        </w:trPr>
        <w:tc>
          <w:tcPr>
            <w:tcW w:w="8880" w:type="dxa"/>
            <w:gridSpan w:val="3"/>
            <w:shd w:val="clear" w:color="auto" w:fill="D9D9D9"/>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Information</w:t>
            </w:r>
          </w:p>
        </w:tc>
        <w:tc>
          <w:tcPr>
            <w:tcW w:w="963" w:type="dxa"/>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4"/>
                  <w:enabled/>
                  <w:calcOnExit w:val="0"/>
                  <w:checkBox>
                    <w:sizeAuto/>
                    <w:default w:val="0"/>
                  </w:checkBox>
                </w:ffData>
              </w:fldChar>
            </w:r>
            <w:bookmarkStart w:id="1" w:name="Check84"/>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5"/>
                  <w:enabled/>
                  <w:calcOnExit w:val="0"/>
                  <w:checkBox>
                    <w:sizeAuto/>
                    <w:default w:val="0"/>
                  </w:checkBox>
                </w:ffData>
              </w:fldChar>
            </w:r>
            <w:bookmarkStart w:id="2" w:name="Check85"/>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2"/>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6"/>
                  <w:enabled/>
                  <w:calcOnExit w:val="0"/>
                  <w:checkBox>
                    <w:sizeAuto/>
                    <w:default w:val="0"/>
                  </w:checkBox>
                </w:ffData>
              </w:fldChar>
            </w:r>
            <w:bookmarkStart w:id="3" w:name="Check86"/>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7"/>
                  <w:enabled/>
                  <w:calcOnExit w:val="0"/>
                  <w:checkBox>
                    <w:sizeAuto/>
                    <w:default w:val="0"/>
                  </w:checkBox>
                </w:ffData>
              </w:fldChar>
            </w:r>
            <w:bookmarkStart w:id="4" w:name="Check87"/>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4"/>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8"/>
                  <w:enabled/>
                  <w:calcOnExit w:val="0"/>
                  <w:checkBox>
                    <w:sizeAuto/>
                    <w:default w:val="0"/>
                  </w:checkBox>
                </w:ffData>
              </w:fldChar>
            </w:r>
            <w:bookmarkStart w:id="5" w:name="Check88"/>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9"/>
                  <w:enabled/>
                  <w:calcOnExit w:val="0"/>
                  <w:checkBox>
                    <w:sizeAuto/>
                    <w:default w:val="0"/>
                  </w:checkBox>
                </w:ffData>
              </w:fldChar>
            </w:r>
            <w:bookmarkStart w:id="6" w:name="Check89"/>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6"/>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0"/>
                  <w:enabled/>
                  <w:calcOnExit w:val="0"/>
                  <w:checkBox>
                    <w:sizeAuto/>
                    <w:default w:val="0"/>
                  </w:checkBox>
                </w:ffData>
              </w:fldChar>
            </w:r>
            <w:bookmarkStart w:id="7" w:name="Check90"/>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1"/>
                  <w:enabled/>
                  <w:calcOnExit w:val="0"/>
                  <w:checkBox>
                    <w:sizeAuto/>
                    <w:default w:val="0"/>
                  </w:checkBox>
                </w:ffData>
              </w:fldChar>
            </w:r>
            <w:bookmarkStart w:id="8" w:name="Check91"/>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8"/>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rsidR="00D34318" w:rsidRPr="00D34318" w:rsidRDefault="00D34318" w:rsidP="00930163">
            <w:pPr>
              <w:jc w:val="center"/>
              <w:rPr>
                <w:rFonts w:ascii="Arial" w:hAnsi="Arial" w:cs="Arial"/>
                <w:bCs/>
                <w:sz w:val="22"/>
                <w:szCs w:val="22"/>
              </w:rPr>
            </w:pPr>
          </w:p>
        </w:tc>
      </w:tr>
      <w:tr w:rsidR="00D34318" w:rsidRPr="00B96A14" w:rsidTr="00930163">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tcBorders>
              <w:top w:val="single" w:sz="4" w:space="0" w:color="auto"/>
            </w:tcBorders>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2"/>
                  <w:enabled/>
                  <w:calcOnExit w:val="0"/>
                  <w:checkBox>
                    <w:sizeAuto/>
                    <w:default w:val="0"/>
                  </w:checkBox>
                </w:ffData>
              </w:fldChar>
            </w:r>
            <w:bookmarkStart w:id="9" w:name="Check92"/>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3"/>
                  <w:enabled/>
                  <w:calcOnExit w:val="0"/>
                  <w:checkBox>
                    <w:sizeAuto/>
                    <w:default w:val="0"/>
                  </w:checkBox>
                </w:ffData>
              </w:fldChar>
            </w:r>
            <w:bookmarkStart w:id="10" w:name="Check93"/>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0"/>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bottom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4"/>
                  <w:enabled/>
                  <w:calcOnExit w:val="0"/>
                  <w:checkBox>
                    <w:sizeAuto/>
                    <w:default w:val="0"/>
                  </w:checkBox>
                </w:ffData>
              </w:fldChar>
            </w:r>
            <w:bookmarkStart w:id="11" w:name="Check94"/>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1"/>
          </w:p>
        </w:tc>
        <w:tc>
          <w:tcPr>
            <w:tcW w:w="945" w:type="dxa"/>
            <w:tcBorders>
              <w:top w:val="single" w:sz="4" w:space="0" w:color="auto"/>
              <w:left w:val="single" w:sz="4" w:space="0" w:color="auto"/>
              <w:bottom w:val="nil"/>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5"/>
                  <w:enabled/>
                  <w:calcOnExit w:val="0"/>
                  <w:checkBox>
                    <w:sizeAuto/>
                    <w:default w:val="0"/>
                  </w:checkBox>
                </w:ffData>
              </w:fldChar>
            </w:r>
            <w:bookmarkStart w:id="12" w:name="Check95"/>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2"/>
          </w:p>
        </w:tc>
      </w:tr>
      <w:tr w:rsidR="00D34318" w:rsidRPr="00B96A14" w:rsidTr="00930163">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p>
        </w:tc>
        <w:tc>
          <w:tcPr>
            <w:tcW w:w="963" w:type="dxa"/>
            <w:tcBorders>
              <w:bottom w:val="single" w:sz="4" w:space="0" w:color="auto"/>
            </w:tcBorders>
            <w:shd w:val="clear" w:color="auto" w:fill="auto"/>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p>
        </w:tc>
      </w:tr>
      <w:tr w:rsidR="00D34318" w:rsidRPr="00B96A14" w:rsidTr="00930163">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Surface Water</w:t>
            </w:r>
          </w:p>
        </w:tc>
        <w:tc>
          <w:tcPr>
            <w:tcW w:w="963" w:type="dxa"/>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83" w:type="dxa"/>
            <w:gridSpan w:val="2"/>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6"/>
                  <w:enabled/>
                  <w:calcOnExit w:val="0"/>
                  <w:checkBox>
                    <w:sizeAuto/>
                    <w:default w:val="0"/>
                  </w:checkBox>
                </w:ffData>
              </w:fldChar>
            </w:r>
            <w:bookmarkStart w:id="13" w:name="Check96"/>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7"/>
                  <w:enabled/>
                  <w:calcOnExit w:val="0"/>
                  <w:checkBox>
                    <w:sizeAuto/>
                    <w:default w:val="0"/>
                  </w:checkBox>
                </w:ffData>
              </w:fldChar>
            </w:r>
            <w:bookmarkStart w:id="14" w:name="Check97"/>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4"/>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83" w:type="dxa"/>
            <w:gridSpan w:val="2"/>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8"/>
                  <w:enabled/>
                  <w:calcOnExit w:val="0"/>
                  <w:checkBox>
                    <w:sizeAuto/>
                    <w:default w:val="0"/>
                  </w:checkBox>
                </w:ffData>
              </w:fldChar>
            </w:r>
            <w:bookmarkStart w:id="15" w:name="Check98"/>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9"/>
                  <w:enabled/>
                  <w:calcOnExit w:val="0"/>
                  <w:checkBox>
                    <w:sizeAuto/>
                    <w:default w:val="0"/>
                  </w:checkBox>
                </w:ffData>
              </w:fldChar>
            </w:r>
            <w:bookmarkStart w:id="16" w:name="Check99"/>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6"/>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rsidR="00D34318" w:rsidRPr="00D34318" w:rsidRDefault="00D34318" w:rsidP="00930163">
            <w:pPr>
              <w:jc w:val="center"/>
              <w:rPr>
                <w:rFonts w:ascii="Arial" w:hAnsi="Arial" w:cs="Arial"/>
                <w:bCs/>
                <w:sz w:val="22"/>
                <w:szCs w:val="22"/>
              </w:rPr>
            </w:pP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rsidR="00D34318" w:rsidRPr="00D34318" w:rsidRDefault="00D34318" w:rsidP="00930163">
            <w:pPr>
              <w:rPr>
                <w:rFonts w:ascii="Arial" w:hAnsi="Arial" w:cs="Arial"/>
                <w:b/>
                <w:bCs/>
                <w:sz w:val="22"/>
                <w:szCs w:val="22"/>
              </w:rPr>
            </w:pPr>
            <w:r w:rsidRPr="00D34318">
              <w:rPr>
                <w:rFonts w:ascii="Arial" w:hAnsi="Arial" w:cs="Arial"/>
                <w:b/>
                <w:bCs/>
                <w:sz w:val="22"/>
                <w:szCs w:val="22"/>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No</w:t>
            </w:r>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0"/>
                  <w:enabled/>
                  <w:calcOnExit w:val="0"/>
                  <w:checkBox>
                    <w:sizeAuto/>
                    <w:default w:val="0"/>
                  </w:checkBox>
                </w:ffData>
              </w:fldChar>
            </w:r>
            <w:bookmarkStart w:id="17" w:name="Check100"/>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1"/>
                  <w:enabled/>
                  <w:calcOnExit w:val="0"/>
                  <w:checkBox>
                    <w:sizeAuto/>
                    <w:default w:val="0"/>
                  </w:checkBox>
                </w:ffData>
              </w:fldChar>
            </w:r>
            <w:bookmarkStart w:id="18" w:name="Check101"/>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8"/>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2"/>
                  <w:enabled/>
                  <w:calcOnExit w:val="0"/>
                  <w:checkBox>
                    <w:sizeAuto/>
                    <w:default w:val="0"/>
                  </w:checkBox>
                </w:ffData>
              </w:fldChar>
            </w:r>
            <w:bookmarkStart w:id="19" w:name="Check102"/>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1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3"/>
                  <w:enabled/>
                  <w:calcOnExit w:val="0"/>
                  <w:checkBox>
                    <w:sizeAuto/>
                    <w:default w:val="0"/>
                  </w:checkBox>
                </w:ffData>
              </w:fldChar>
            </w:r>
            <w:bookmarkStart w:id="20" w:name="Check103"/>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20"/>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4"/>
                  <w:enabled/>
                  <w:calcOnExit w:val="0"/>
                  <w:checkBox>
                    <w:sizeAuto/>
                    <w:default w:val="0"/>
                  </w:checkBox>
                </w:ffData>
              </w:fldChar>
            </w:r>
            <w:bookmarkStart w:id="21" w:name="Check104"/>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2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5"/>
                  <w:enabled/>
                  <w:calcOnExit w:val="0"/>
                  <w:checkBox>
                    <w:sizeAuto/>
                    <w:default w:val="0"/>
                  </w:checkBox>
                </w:ffData>
              </w:fldChar>
            </w:r>
            <w:bookmarkStart w:id="22" w:name="Check105"/>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22"/>
          </w:p>
        </w:tc>
      </w:tr>
      <w:tr w:rsidR="00D34318" w:rsidRPr="00B96A14"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12" w:space="0" w:color="auto"/>
              <w:right w:val="single" w:sz="4" w:space="0" w:color="auto"/>
            </w:tcBorders>
            <w:shd w:val="clear" w:color="auto" w:fill="D9D9D9"/>
            <w:tcMar>
              <w:left w:w="14" w:type="dxa"/>
            </w:tcMar>
          </w:tcPr>
          <w:p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6"/>
                  <w:enabled/>
                  <w:calcOnExit w:val="0"/>
                  <w:checkBox>
                    <w:sizeAuto/>
                    <w:default w:val="0"/>
                  </w:checkBox>
                </w:ffData>
              </w:fldChar>
            </w:r>
            <w:bookmarkStart w:id="23" w:name="Check106"/>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23"/>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7"/>
                  <w:enabled/>
                  <w:calcOnExit w:val="0"/>
                  <w:checkBox>
                    <w:sizeAuto/>
                    <w:default w:val="0"/>
                  </w:checkBox>
                </w:ffData>
              </w:fldChar>
            </w:r>
            <w:bookmarkStart w:id="24" w:name="Check107"/>
            <w:r w:rsidRPr="00D34318">
              <w:rPr>
                <w:rFonts w:ascii="Arial" w:hAnsi="Arial" w:cs="Arial"/>
                <w:bCs/>
                <w:sz w:val="22"/>
                <w:szCs w:val="22"/>
              </w:rPr>
              <w:instrText xml:space="preserve"> FORMCHECKBOX </w:instrText>
            </w:r>
            <w:r w:rsidR="00453CC3">
              <w:rPr>
                <w:rFonts w:ascii="Arial" w:hAnsi="Arial" w:cs="Arial"/>
                <w:bCs/>
                <w:sz w:val="22"/>
                <w:szCs w:val="22"/>
              </w:rPr>
            </w:r>
            <w:r w:rsidR="00453CC3">
              <w:rPr>
                <w:rFonts w:ascii="Arial" w:hAnsi="Arial" w:cs="Arial"/>
                <w:bCs/>
                <w:sz w:val="22"/>
                <w:szCs w:val="22"/>
              </w:rPr>
              <w:fldChar w:fldCharType="separate"/>
            </w:r>
            <w:r w:rsidRPr="00D34318">
              <w:rPr>
                <w:rFonts w:ascii="Arial" w:hAnsi="Arial" w:cs="Arial"/>
                <w:bCs/>
                <w:sz w:val="22"/>
                <w:szCs w:val="22"/>
              </w:rPr>
              <w:fldChar w:fldCharType="end"/>
            </w:r>
            <w:bookmarkEnd w:id="24"/>
          </w:p>
        </w:tc>
      </w:tr>
    </w:tbl>
    <w:p w:rsidR="006C2BE9" w:rsidRPr="005D46A8" w:rsidRDefault="006C2BE9" w:rsidP="008F4CB3">
      <w:pPr>
        <w:autoSpaceDE w:val="0"/>
        <w:autoSpaceDN w:val="0"/>
        <w:spacing w:before="200" w:after="40"/>
        <w:rPr>
          <w:rFonts w:ascii="Arial" w:hAnsi="Arial" w:cs="Arial"/>
          <w:b/>
          <w:sz w:val="20"/>
          <w:szCs w:val="18"/>
        </w:rPr>
      </w:pPr>
      <w:bookmarkStart w:id="25" w:name="_GoBack"/>
      <w:bookmarkEnd w:id="25"/>
    </w:p>
    <w:sectPr w:rsidR="006C2BE9" w:rsidRPr="005D46A8" w:rsidSect="00736571">
      <w:headerReference w:type="first" r:id="rId9"/>
      <w:footerReference w:type="first" r:id="rId10"/>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CC3" w:rsidRDefault="00453CC3" w:rsidP="005D03A7">
      <w:r>
        <w:separator/>
      </w:r>
    </w:p>
  </w:endnote>
  <w:endnote w:type="continuationSeparator" w:id="0">
    <w:p w:rsidR="00453CC3" w:rsidRDefault="00453CC3"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E5" w:rsidRPr="00561DD0" w:rsidRDefault="00561DD0" w:rsidP="00561DD0">
    <w:pPr>
      <w:pStyle w:val="Footer"/>
    </w:pPr>
    <w:r>
      <w:rPr>
        <w:rFonts w:ascii="Arial" w:hAnsi="Arial" w:cs="Arial"/>
        <w:sz w:val="20"/>
      </w:rPr>
      <w:t>Form DW-010 (12/2018)</w:t>
    </w:r>
    <w:r w:rsidR="00F31DE5">
      <w:rPr>
        <w:rFonts w:ascii="Arial" w:hAnsi="Arial" w:cs="Arial"/>
        <w:sz w:val="20"/>
      </w:rPr>
      <w:tab/>
    </w:r>
    <w:r>
      <w:rPr>
        <w:rFonts w:ascii="Arial" w:hAnsi="Arial" w:cs="Arial"/>
        <w:sz w:val="20"/>
      </w:rPr>
      <w:tab/>
    </w:r>
    <w:r>
      <w:rPr>
        <w:rFonts w:ascii="Arial" w:hAnsi="Arial" w:cs="Arial"/>
        <w:sz w:val="20"/>
      </w:rPr>
      <w:tab/>
    </w:r>
    <w:r w:rsidR="00F31DE5">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CC3" w:rsidRDefault="00453CC3" w:rsidP="005D03A7">
      <w:r>
        <w:separator/>
      </w:r>
    </w:p>
  </w:footnote>
  <w:footnote w:type="continuationSeparator" w:id="0">
    <w:p w:rsidR="00453CC3" w:rsidRDefault="00453CC3"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92813">
      <w:rPr>
        <w:rFonts w:ascii="Arial" w:hAnsi="Arial" w:cs="Arial"/>
        <w:b/>
      </w:rPr>
      <w:t>Project Update Form</w:t>
    </w:r>
  </w:p>
  <w:p w:rsidR="00420E13" w:rsidRPr="005C6345" w:rsidRDefault="00420E13" w:rsidP="00420E13">
    <w:pPr>
      <w:pStyle w:val="Header"/>
      <w:jc w:val="center"/>
      <w:rPr>
        <w:rFonts w:ascii="Arial" w:hAnsi="Arial" w:cs="Arial"/>
        <w:b/>
        <w:sz w:val="8"/>
        <w:szCs w:val="8"/>
      </w:rPr>
    </w:pPr>
  </w:p>
  <w:p w:rsidR="00F31DE5" w:rsidRPr="00420E13" w:rsidRDefault="00D34318" w:rsidP="00420E13">
    <w:pPr>
      <w:pStyle w:val="Header"/>
      <w:spacing w:after="80"/>
      <w:jc w:val="center"/>
      <w:rPr>
        <w:rFonts w:ascii="Arial" w:hAnsi="Arial" w:cs="Arial"/>
        <w:b/>
        <w:sz w:val="28"/>
        <w:szCs w:val="28"/>
      </w:rPr>
    </w:pPr>
    <w:r>
      <w:rPr>
        <w:rFonts w:ascii="Arial" w:hAnsi="Arial" w:cs="Arial"/>
        <w:b/>
        <w:sz w:val="28"/>
        <w:szCs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13"/>
    <w:rsid w:val="00192857"/>
    <w:rsid w:val="001C30F9"/>
    <w:rsid w:val="002018A6"/>
    <w:rsid w:val="00202F77"/>
    <w:rsid w:val="00212212"/>
    <w:rsid w:val="00212CC3"/>
    <w:rsid w:val="00216BAA"/>
    <w:rsid w:val="00233EEA"/>
    <w:rsid w:val="002352BB"/>
    <w:rsid w:val="0023657E"/>
    <w:rsid w:val="00257B43"/>
    <w:rsid w:val="00280E97"/>
    <w:rsid w:val="0029666D"/>
    <w:rsid w:val="002B745C"/>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1012A"/>
    <w:rsid w:val="00420E13"/>
    <w:rsid w:val="004257FD"/>
    <w:rsid w:val="004303DE"/>
    <w:rsid w:val="00434B4A"/>
    <w:rsid w:val="004413C7"/>
    <w:rsid w:val="00453CC3"/>
    <w:rsid w:val="00467FDC"/>
    <w:rsid w:val="004806FC"/>
    <w:rsid w:val="00485A38"/>
    <w:rsid w:val="0049565A"/>
    <w:rsid w:val="004B15C5"/>
    <w:rsid w:val="004C2E62"/>
    <w:rsid w:val="00504F6A"/>
    <w:rsid w:val="00551E62"/>
    <w:rsid w:val="00561DD0"/>
    <w:rsid w:val="005626AA"/>
    <w:rsid w:val="005702F8"/>
    <w:rsid w:val="00581B83"/>
    <w:rsid w:val="00585E49"/>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7E67"/>
    <w:rsid w:val="0078728E"/>
    <w:rsid w:val="0078772B"/>
    <w:rsid w:val="0079752C"/>
    <w:rsid w:val="007E4D99"/>
    <w:rsid w:val="00813D75"/>
    <w:rsid w:val="00825FCD"/>
    <w:rsid w:val="00875F8E"/>
    <w:rsid w:val="00896746"/>
    <w:rsid w:val="008A6167"/>
    <w:rsid w:val="008B1A18"/>
    <w:rsid w:val="008C685D"/>
    <w:rsid w:val="008E3106"/>
    <w:rsid w:val="008E75E9"/>
    <w:rsid w:val="008F4779"/>
    <w:rsid w:val="008F4CB3"/>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65FF"/>
    <w:rsid w:val="00CC0FAD"/>
    <w:rsid w:val="00CC63D8"/>
    <w:rsid w:val="00CC7EDC"/>
    <w:rsid w:val="00CE3AE7"/>
    <w:rsid w:val="00CF69BF"/>
    <w:rsid w:val="00D12984"/>
    <w:rsid w:val="00D34318"/>
    <w:rsid w:val="00D47ECD"/>
    <w:rsid w:val="00D52F72"/>
    <w:rsid w:val="00D76F2F"/>
    <w:rsid w:val="00D80A71"/>
    <w:rsid w:val="00D835A6"/>
    <w:rsid w:val="00DA49CF"/>
    <w:rsid w:val="00DB326D"/>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0B16"/>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ws@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B98D-358C-4255-B7C3-BC87B56A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3193</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2</cp:revision>
  <cp:lastPrinted>2013-09-09T21:02:00Z</cp:lastPrinted>
  <dcterms:created xsi:type="dcterms:W3CDTF">2018-12-18T18:08:00Z</dcterms:created>
  <dcterms:modified xsi:type="dcterms:W3CDTF">2018-12-18T18:08:00Z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