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C4" w:rsidRPr="00AA7ED4" w:rsidRDefault="003727B3" w:rsidP="00DB143C">
      <w:pPr>
        <w:spacing w:before="80" w:after="120"/>
        <w:rPr>
          <w:b/>
          <w:sz w:val="32"/>
          <w:szCs w:val="32"/>
          <w:u w:val="single"/>
        </w:rPr>
      </w:pPr>
      <w:bookmarkStart w:id="0" w:name="_GoBack"/>
      <w:bookmarkEnd w:id="0"/>
      <w:r>
        <w:rPr>
          <w:b/>
          <w:sz w:val="32"/>
          <w:szCs w:val="32"/>
          <w:u w:val="single"/>
        </w:rPr>
        <w:t>Introduction</w:t>
      </w:r>
    </w:p>
    <w:p w:rsidR="003727B3" w:rsidRDefault="006000C4" w:rsidP="00DB143C">
      <w:pPr>
        <w:spacing w:after="120"/>
      </w:pPr>
      <w:r w:rsidRPr="00AA7ED4">
        <w:t xml:space="preserve">The </w:t>
      </w:r>
      <w:r w:rsidR="00C124BC" w:rsidRPr="00AA7ED4">
        <w:t xml:space="preserve">Texas Water Development Board (TWDB) </w:t>
      </w:r>
      <w:r w:rsidRPr="00AA7ED4">
        <w:t>appreciates you</w:t>
      </w:r>
      <w:r w:rsidR="00180543" w:rsidRPr="00AA7ED4">
        <w:t>r</w:t>
      </w:r>
      <w:r w:rsidRPr="00AA7ED4">
        <w:t xml:space="preserve"> interest in the Drinking Water State Revolving Fund </w:t>
      </w:r>
      <w:r w:rsidR="00601CCB" w:rsidRPr="00AA7ED4">
        <w:t xml:space="preserve">(DWSRF) </w:t>
      </w:r>
      <w:r w:rsidRPr="00AA7ED4">
        <w:t xml:space="preserve">program. </w:t>
      </w:r>
      <w:r w:rsidR="00A16C61" w:rsidRPr="00AA7ED4">
        <w:t xml:space="preserve"> </w:t>
      </w:r>
      <w:r w:rsidR="003727B3">
        <w:t>The DWSRF provides low-interest funding for</w:t>
      </w:r>
      <w:r w:rsidR="00F83605">
        <w:t xml:space="preserve"> the planning, design, and/or construction of water projects </w:t>
      </w:r>
      <w:r w:rsidR="003727B3">
        <w:t xml:space="preserve">in compliance with the Safe Drinking Water Act. </w:t>
      </w:r>
      <w:r w:rsidR="003727B3" w:rsidRPr="00AA7ED4">
        <w:t>We are excited to be able to offer year-round funding opportunities within the DWSRF and look forward to your participation.</w:t>
      </w:r>
    </w:p>
    <w:p w:rsidR="003727B3" w:rsidRDefault="003727B3" w:rsidP="00DB143C">
      <w:pPr>
        <w:spacing w:after="120"/>
        <w:rPr>
          <w:b/>
          <w:sz w:val="32"/>
          <w:szCs w:val="32"/>
          <w:u w:val="single"/>
        </w:rPr>
      </w:pPr>
      <w:r w:rsidRPr="003727B3">
        <w:rPr>
          <w:b/>
          <w:sz w:val="32"/>
          <w:szCs w:val="32"/>
          <w:u w:val="single"/>
        </w:rPr>
        <w:t>PIF Submittal Requirements</w:t>
      </w:r>
    </w:p>
    <w:p w:rsidR="003727B3" w:rsidRDefault="003727B3" w:rsidP="00DB143C">
      <w:pPr>
        <w:spacing w:after="120"/>
      </w:pPr>
      <w:r>
        <w:t xml:space="preserve">Funding for water infrastructure projects is available </w:t>
      </w:r>
      <w:r w:rsidR="00432601" w:rsidRPr="00432601">
        <w:rPr>
          <w:b/>
          <w:u w:val="single"/>
        </w:rPr>
        <w:t>YEAR ROUND</w:t>
      </w:r>
      <w:r w:rsidR="00432601">
        <w:t xml:space="preserve">. </w:t>
      </w:r>
      <w:r w:rsidRPr="00AA7ED4">
        <w:t xml:space="preserve">In order to be invited to apply for funding, entities must </w:t>
      </w:r>
      <w:r>
        <w:t>submit a complete PIF, undergo public review, and be included on the DWSRF Intended Use Plan Project Priority List.</w:t>
      </w:r>
      <w:r w:rsidRPr="003727B3">
        <w:t xml:space="preserve"> </w:t>
      </w:r>
      <w:r w:rsidRPr="00AA7ED4">
        <w:t xml:space="preserve">Once the project has been added to the Project Priority List, the TWDB will send out an invitation to apply </w:t>
      </w:r>
      <w:r>
        <w:t>for available funding.</w:t>
      </w:r>
    </w:p>
    <w:p w:rsidR="00432601" w:rsidRDefault="00432601" w:rsidP="00DB143C">
      <w:pPr>
        <w:spacing w:after="120"/>
      </w:pPr>
      <w:r>
        <w:t xml:space="preserve">Annually, the TWDB will request entities to submit new PIFs and updates to projects listed on the current DWSRF Intended Use Plan (IUP). New submissions and updates will be rated and reviewed and considered for special subsidies available in the following funding cycle. Deadlines will be posted to our website and notifications will be broadcast. </w:t>
      </w:r>
    </w:p>
    <w:p w:rsidR="00432601" w:rsidRDefault="00432601" w:rsidP="00DB143C">
      <w:pPr>
        <w:spacing w:after="120"/>
      </w:pPr>
      <w:r>
        <w:t xml:space="preserve">To obtain a </w:t>
      </w:r>
      <w:r w:rsidR="00F12B5B">
        <w:t>PIF</w:t>
      </w:r>
      <w:r>
        <w:t xml:space="preserve"> </w:t>
      </w:r>
      <w:r w:rsidR="00F57131">
        <w:t>or Updates</w:t>
      </w:r>
      <w:r>
        <w:t>, please visit the following link:</w:t>
      </w:r>
    </w:p>
    <w:p w:rsidR="00D52D2B" w:rsidRDefault="00A11D2D" w:rsidP="00DB143C">
      <w:pPr>
        <w:autoSpaceDE w:val="0"/>
        <w:autoSpaceDN w:val="0"/>
        <w:adjustRightInd w:val="0"/>
        <w:spacing w:after="120"/>
        <w:ind w:right="418"/>
      </w:pPr>
      <w:hyperlink r:id="rId9" w:history="1">
        <w:r w:rsidR="00D52D2B" w:rsidRPr="005B5E9A">
          <w:rPr>
            <w:rStyle w:val="Hyperlink"/>
          </w:rPr>
          <w:t>http://www.twdb.texas.gov/financial/programs/pif.asp</w:t>
        </w:r>
      </w:hyperlink>
    </w:p>
    <w:p w:rsidR="00E11C0C" w:rsidRPr="00DB143C" w:rsidRDefault="00DB143C" w:rsidP="00DB143C">
      <w:pPr>
        <w:autoSpaceDE w:val="0"/>
        <w:autoSpaceDN w:val="0"/>
        <w:adjustRightInd w:val="0"/>
        <w:spacing w:after="120"/>
        <w:ind w:right="418"/>
        <w:rPr>
          <w:b/>
          <w:color w:val="000000"/>
          <w:sz w:val="32"/>
          <w:szCs w:val="32"/>
          <w:u w:val="single"/>
        </w:rPr>
      </w:pPr>
      <w:r>
        <w:rPr>
          <w:b/>
          <w:color w:val="000000"/>
          <w:sz w:val="32"/>
          <w:szCs w:val="32"/>
          <w:u w:val="single"/>
        </w:rPr>
        <w:t xml:space="preserve">Submission Options </w:t>
      </w:r>
      <w:r w:rsidR="00E11C0C" w:rsidRPr="00DB143C">
        <w:rPr>
          <w:b/>
          <w:color w:val="000000"/>
          <w:sz w:val="32"/>
          <w:szCs w:val="32"/>
          <w:u w:val="single"/>
        </w:rPr>
        <w:t xml:space="preserve"> </w:t>
      </w:r>
    </w:p>
    <w:p w:rsidR="00467E85" w:rsidRDefault="00467E85" w:rsidP="00467E85">
      <w:pPr>
        <w:autoSpaceDE w:val="0"/>
        <w:autoSpaceDN w:val="0"/>
        <w:adjustRightInd w:val="0"/>
        <w:spacing w:after="120"/>
        <w:ind w:right="418"/>
        <w:rPr>
          <w:b/>
          <w:color w:val="000000"/>
        </w:rPr>
      </w:pPr>
      <w:r>
        <w:rPr>
          <w:b/>
          <w:color w:val="000000"/>
        </w:rPr>
        <w:t>Online Loan Application:</w:t>
      </w:r>
    </w:p>
    <w:p w:rsidR="00467E85" w:rsidRPr="00586183" w:rsidRDefault="00467E85" w:rsidP="00467E85">
      <w:pPr>
        <w:autoSpaceDE w:val="0"/>
        <w:autoSpaceDN w:val="0"/>
        <w:adjustRightInd w:val="0"/>
        <w:spacing w:after="120"/>
        <w:ind w:right="418"/>
        <w:rPr>
          <w:color w:val="000000"/>
        </w:rPr>
      </w:pPr>
      <w:r>
        <w:rPr>
          <w:color w:val="000000"/>
        </w:rPr>
        <w:t>To submit your PIF or Financial Assistance Application online, please utilize our Online Loan Application System:</w:t>
      </w:r>
    </w:p>
    <w:p w:rsidR="00467E85" w:rsidRPr="00586183" w:rsidRDefault="00A11D2D" w:rsidP="00467E85">
      <w:pPr>
        <w:autoSpaceDE w:val="0"/>
        <w:autoSpaceDN w:val="0"/>
        <w:adjustRightInd w:val="0"/>
        <w:spacing w:after="120"/>
        <w:ind w:right="418"/>
        <w:rPr>
          <w:color w:val="000000"/>
        </w:rPr>
      </w:pPr>
      <w:hyperlink r:id="rId10" w:history="1">
        <w:r w:rsidR="00467E85" w:rsidRPr="00586183">
          <w:rPr>
            <w:rStyle w:val="Hyperlink"/>
          </w:rPr>
          <w:t>http://www.twdb.texas.gov/financial/applications/references.asp</w:t>
        </w:r>
      </w:hyperlink>
    </w:p>
    <w:p w:rsidR="00467E85" w:rsidRPr="00E11C0C" w:rsidRDefault="00467E85" w:rsidP="00467E85">
      <w:pPr>
        <w:autoSpaceDE w:val="0"/>
        <w:autoSpaceDN w:val="0"/>
        <w:adjustRightInd w:val="0"/>
        <w:spacing w:after="120"/>
        <w:ind w:right="418"/>
        <w:rPr>
          <w:b/>
          <w:color w:val="000000"/>
        </w:rPr>
      </w:pPr>
      <w:r w:rsidRPr="00E11C0C">
        <w:rPr>
          <w:b/>
          <w:color w:val="000000"/>
        </w:rPr>
        <w:t>Email:</w:t>
      </w:r>
    </w:p>
    <w:p w:rsidR="00467E85" w:rsidRDefault="00A11D2D" w:rsidP="00467E85">
      <w:pPr>
        <w:autoSpaceDE w:val="0"/>
        <w:autoSpaceDN w:val="0"/>
        <w:adjustRightInd w:val="0"/>
        <w:spacing w:after="120"/>
        <w:ind w:right="418"/>
        <w:rPr>
          <w:color w:val="000000"/>
        </w:rPr>
      </w:pPr>
      <w:hyperlink r:id="rId11" w:history="1">
        <w:r w:rsidR="00467E85" w:rsidRPr="004B6975">
          <w:rPr>
            <w:rStyle w:val="Hyperlink"/>
            <w:u w:val="none"/>
          </w:rPr>
          <w:t>DWIUPsubmissions@twdb.texas.gov</w:t>
        </w:r>
      </w:hyperlink>
      <w:r w:rsidR="00467E85">
        <w:rPr>
          <w:color w:val="000000"/>
        </w:rPr>
        <w:t xml:space="preserve"> (File Size Must be &lt;10MB)</w:t>
      </w:r>
    </w:p>
    <w:p w:rsidR="00467E85" w:rsidRPr="00E11C0C" w:rsidRDefault="00467E85" w:rsidP="00467E85">
      <w:pPr>
        <w:autoSpaceDE w:val="0"/>
        <w:autoSpaceDN w:val="0"/>
        <w:adjustRightInd w:val="0"/>
        <w:spacing w:after="120"/>
        <w:ind w:right="418"/>
        <w:rPr>
          <w:b/>
          <w:color w:val="000000"/>
        </w:rPr>
      </w:pPr>
      <w:r w:rsidRPr="00E11C0C">
        <w:rPr>
          <w:b/>
          <w:color w:val="000000"/>
        </w:rPr>
        <w:t>Web File Transfer:</w:t>
      </w:r>
    </w:p>
    <w:p w:rsidR="00467E85" w:rsidRPr="00E11C0C" w:rsidRDefault="00467E85" w:rsidP="00467E85">
      <w:pPr>
        <w:autoSpaceDE w:val="0"/>
        <w:autoSpaceDN w:val="0"/>
        <w:spacing w:after="120"/>
        <w:rPr>
          <w:rFonts w:eastAsia="Times New Roman"/>
        </w:rPr>
      </w:pPr>
      <w:r w:rsidRPr="00E11C0C">
        <w:rPr>
          <w:rFonts w:eastAsia="Times New Roman"/>
        </w:rPr>
        <w:t xml:space="preserve">Register an account at:  </w:t>
      </w:r>
      <w:hyperlink r:id="rId12" w:history="1">
        <w:r w:rsidRPr="00E11C0C">
          <w:rPr>
            <w:rFonts w:eastAsia="Times New Roman"/>
            <w:color w:val="0000FF"/>
          </w:rPr>
          <w:t>www2.twdb.texas.gov/FileTXFR/Login.aspx</w:t>
        </w:r>
      </w:hyperlink>
    </w:p>
    <w:p w:rsidR="00467E85" w:rsidRPr="00586183" w:rsidRDefault="00467E85" w:rsidP="00586183">
      <w:pPr>
        <w:autoSpaceDE w:val="0"/>
        <w:autoSpaceDN w:val="0"/>
        <w:spacing w:after="120"/>
        <w:rPr>
          <w:rFonts w:eastAsia="Times New Roman"/>
        </w:rPr>
      </w:pPr>
      <w:r w:rsidRPr="00E11C0C">
        <w:rPr>
          <w:rFonts w:eastAsia="Times New Roman"/>
        </w:rPr>
        <w:t xml:space="preserve">After files have been uploaded, click on the envelope icon to email a web link/notice to </w:t>
      </w:r>
      <w:hyperlink r:id="rId13" w:history="1">
        <w:r w:rsidRPr="00E11C0C">
          <w:rPr>
            <w:rStyle w:val="Hyperlink"/>
            <w:u w:val="none"/>
          </w:rPr>
          <w:t>DWIUPsubmissions@twdb.texas.gov</w:t>
        </w:r>
      </w:hyperlink>
      <w:r w:rsidRPr="00E11C0C">
        <w:rPr>
          <w:rFonts w:eastAsia="Times New Roman"/>
        </w:rPr>
        <w:t>.</w:t>
      </w:r>
    </w:p>
    <w:p w:rsidR="00467E85" w:rsidRDefault="00467E85" w:rsidP="00DB143C">
      <w:pPr>
        <w:autoSpaceDE w:val="0"/>
        <w:autoSpaceDN w:val="0"/>
        <w:adjustRightInd w:val="0"/>
        <w:spacing w:after="0"/>
        <w:ind w:right="418"/>
        <w:rPr>
          <w:b/>
          <w:color w:val="000000"/>
        </w:rPr>
      </w:pPr>
    </w:p>
    <w:p w:rsidR="00E11C0C" w:rsidRPr="00E11C0C" w:rsidRDefault="00E11C0C" w:rsidP="00DB143C">
      <w:pPr>
        <w:autoSpaceDE w:val="0"/>
        <w:autoSpaceDN w:val="0"/>
        <w:adjustRightInd w:val="0"/>
        <w:spacing w:after="0"/>
        <w:ind w:right="418"/>
        <w:rPr>
          <w:b/>
          <w:color w:val="000000"/>
        </w:rPr>
      </w:pPr>
      <w:r w:rsidRPr="00E11C0C">
        <w:rPr>
          <w:b/>
          <w:color w:val="000000"/>
        </w:rPr>
        <w:t>Regular Mail:</w:t>
      </w:r>
      <w:r>
        <w:rPr>
          <w:color w:val="000000"/>
        </w:rPr>
        <w:tab/>
      </w:r>
      <w:r>
        <w:rPr>
          <w:color w:val="000000"/>
        </w:rPr>
        <w:tab/>
      </w:r>
      <w:r>
        <w:rPr>
          <w:color w:val="000000"/>
        </w:rPr>
        <w:tab/>
      </w:r>
      <w:r>
        <w:rPr>
          <w:color w:val="000000"/>
        </w:rPr>
        <w:tab/>
      </w:r>
      <w:r>
        <w:rPr>
          <w:color w:val="000000"/>
        </w:rPr>
        <w:tab/>
      </w:r>
      <w:r w:rsidRPr="00E11C0C">
        <w:rPr>
          <w:b/>
          <w:color w:val="000000"/>
        </w:rPr>
        <w:t>Overnight Delivery:</w:t>
      </w:r>
    </w:p>
    <w:p w:rsidR="00E11C0C" w:rsidRDefault="00E11C0C" w:rsidP="00DB143C">
      <w:pPr>
        <w:autoSpaceDE w:val="0"/>
        <w:autoSpaceDN w:val="0"/>
        <w:adjustRightInd w:val="0"/>
        <w:spacing w:after="0"/>
        <w:ind w:right="418"/>
        <w:rPr>
          <w:color w:val="000000"/>
        </w:rPr>
      </w:pPr>
      <w:r>
        <w:rPr>
          <w:color w:val="000000"/>
        </w:rPr>
        <w:t>Texas Water Development Board</w:t>
      </w:r>
      <w:r>
        <w:rPr>
          <w:color w:val="000000"/>
        </w:rPr>
        <w:tab/>
      </w:r>
      <w:r>
        <w:rPr>
          <w:color w:val="000000"/>
        </w:rPr>
        <w:tab/>
      </w:r>
      <w:r>
        <w:rPr>
          <w:color w:val="000000"/>
        </w:rPr>
        <w:tab/>
        <w:t>Texas Water Development Board</w:t>
      </w:r>
    </w:p>
    <w:p w:rsidR="00E11C0C" w:rsidRDefault="00E11C0C" w:rsidP="00DB143C">
      <w:pPr>
        <w:autoSpaceDE w:val="0"/>
        <w:autoSpaceDN w:val="0"/>
        <w:adjustRightInd w:val="0"/>
        <w:spacing w:after="0"/>
        <w:ind w:right="418"/>
        <w:rPr>
          <w:color w:val="000000"/>
        </w:rPr>
      </w:pPr>
      <w:r>
        <w:rPr>
          <w:color w:val="000000"/>
        </w:rPr>
        <w:t>Attn: DWSRF IUP Project</w:t>
      </w:r>
      <w:r>
        <w:rPr>
          <w:color w:val="000000"/>
        </w:rPr>
        <w:tab/>
      </w:r>
      <w:r>
        <w:rPr>
          <w:color w:val="000000"/>
        </w:rPr>
        <w:tab/>
      </w:r>
      <w:r>
        <w:rPr>
          <w:color w:val="000000"/>
        </w:rPr>
        <w:tab/>
      </w:r>
      <w:r>
        <w:rPr>
          <w:color w:val="000000"/>
        </w:rPr>
        <w:tab/>
        <w:t>Attn: DWSRF IUP Project</w:t>
      </w:r>
    </w:p>
    <w:p w:rsidR="00E11C0C" w:rsidRDefault="00E11C0C" w:rsidP="00DB143C">
      <w:pPr>
        <w:autoSpaceDE w:val="0"/>
        <w:autoSpaceDN w:val="0"/>
        <w:adjustRightInd w:val="0"/>
        <w:spacing w:after="0"/>
        <w:ind w:right="418"/>
        <w:rPr>
          <w:color w:val="000000"/>
        </w:rPr>
      </w:pPr>
      <w:r>
        <w:rPr>
          <w:color w:val="000000"/>
        </w:rPr>
        <w:t>P.O. Box 13231</w:t>
      </w:r>
      <w:r>
        <w:rPr>
          <w:color w:val="000000"/>
        </w:rPr>
        <w:tab/>
      </w:r>
      <w:r>
        <w:rPr>
          <w:color w:val="000000"/>
        </w:rPr>
        <w:tab/>
      </w:r>
      <w:r>
        <w:rPr>
          <w:color w:val="000000"/>
        </w:rPr>
        <w:tab/>
      </w:r>
      <w:r>
        <w:rPr>
          <w:color w:val="000000"/>
        </w:rPr>
        <w:tab/>
      </w:r>
      <w:r>
        <w:rPr>
          <w:color w:val="000000"/>
        </w:rPr>
        <w:tab/>
        <w:t>1700 N. Congress Ave., Rm. 506i</w:t>
      </w:r>
    </w:p>
    <w:p w:rsidR="00E11C0C" w:rsidRDefault="00E11C0C" w:rsidP="00DB143C">
      <w:pPr>
        <w:autoSpaceDE w:val="0"/>
        <w:autoSpaceDN w:val="0"/>
        <w:adjustRightInd w:val="0"/>
        <w:spacing w:after="0"/>
        <w:ind w:right="418"/>
        <w:rPr>
          <w:color w:val="000000"/>
        </w:rPr>
      </w:pPr>
      <w:r>
        <w:rPr>
          <w:color w:val="000000"/>
        </w:rPr>
        <w:t>Austin, TX 78711</w:t>
      </w:r>
      <w:r>
        <w:rPr>
          <w:color w:val="000000"/>
        </w:rPr>
        <w:tab/>
      </w:r>
      <w:r>
        <w:rPr>
          <w:color w:val="000000"/>
        </w:rPr>
        <w:tab/>
      </w:r>
      <w:r>
        <w:rPr>
          <w:color w:val="000000"/>
        </w:rPr>
        <w:tab/>
      </w:r>
      <w:r>
        <w:rPr>
          <w:color w:val="000000"/>
        </w:rPr>
        <w:tab/>
      </w:r>
      <w:r>
        <w:rPr>
          <w:color w:val="000000"/>
        </w:rPr>
        <w:tab/>
        <w:t>Austin, TX 78701</w:t>
      </w:r>
    </w:p>
    <w:p w:rsidR="00467E85" w:rsidRDefault="00467E85" w:rsidP="00A4372E">
      <w:pPr>
        <w:spacing w:after="12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512-463-0991</w:t>
      </w:r>
    </w:p>
    <w:p w:rsidR="00467E85" w:rsidRDefault="00467E85" w:rsidP="00A4372E">
      <w:pPr>
        <w:spacing w:after="120"/>
        <w:rPr>
          <w:color w:val="000000"/>
        </w:rPr>
      </w:pPr>
    </w:p>
    <w:p w:rsidR="00257ACC" w:rsidRPr="00257ACC" w:rsidRDefault="00257ACC" w:rsidP="00A4372E">
      <w:pPr>
        <w:spacing w:after="120"/>
        <w:rPr>
          <w:rFonts w:eastAsia="Times New Roman"/>
          <w:sz w:val="32"/>
          <w:szCs w:val="32"/>
          <w:u w:val="single"/>
        </w:rPr>
      </w:pPr>
      <w:r w:rsidRPr="00257ACC">
        <w:rPr>
          <w:rFonts w:eastAsia="Times New Roman"/>
          <w:b/>
          <w:sz w:val="32"/>
          <w:szCs w:val="32"/>
          <w:u w:val="single"/>
        </w:rPr>
        <w:lastRenderedPageBreak/>
        <w:t>How Projects Are Rated</w:t>
      </w:r>
    </w:p>
    <w:p w:rsidR="00257ACC" w:rsidRPr="00AA7ED4" w:rsidRDefault="00257ACC" w:rsidP="00186B14">
      <w:pPr>
        <w:spacing w:after="120"/>
        <w:rPr>
          <w:rFonts w:eastAsia="Times New Roman"/>
          <w:b/>
        </w:rPr>
      </w:pPr>
      <w:r w:rsidRPr="00AA7ED4">
        <w:rPr>
          <w:rFonts w:eastAsia="Times New Roman"/>
        </w:rPr>
        <w:t>Proposed eligible projects (except for source water protection projects) are rated by the Texas Commission on Environmental Quality (TCEQ) and are given a Combined Rating Factor.  The Combined Rating Factor is based on health and compliance factors, physical deficiency factors, and consolidation factors.  TWD</w:t>
      </w:r>
      <w:r w:rsidRPr="00AA7ED4">
        <w:rPr>
          <w:rFonts w:eastAsia="Times New Roman"/>
          <w:color w:val="000000"/>
        </w:rPr>
        <w:t>B rates the effective management and affordability factors.</w:t>
      </w:r>
    </w:p>
    <w:p w:rsidR="00E41597" w:rsidRPr="00257ACC" w:rsidRDefault="004024F4" w:rsidP="00186B14">
      <w:pPr>
        <w:spacing w:after="120"/>
        <w:rPr>
          <w:rFonts w:eastAsia="Times New Roman"/>
          <w:b/>
          <w:sz w:val="32"/>
          <w:szCs w:val="32"/>
          <w:u w:val="single"/>
        </w:rPr>
      </w:pPr>
      <w:r>
        <w:rPr>
          <w:rFonts w:eastAsia="Times New Roman"/>
          <w:b/>
          <w:sz w:val="32"/>
          <w:szCs w:val="32"/>
          <w:u w:val="single"/>
        </w:rPr>
        <w:t>Program Eligibilities</w:t>
      </w:r>
    </w:p>
    <w:p w:rsidR="001A4B86" w:rsidRPr="00AA7ED4" w:rsidRDefault="001A4B86" w:rsidP="001A4B86">
      <w:pPr>
        <w:spacing w:after="0"/>
        <w:rPr>
          <w:rFonts w:eastAsia="Times New Roman"/>
          <w:szCs w:val="20"/>
        </w:rPr>
      </w:pPr>
      <w:r w:rsidRPr="00AA7ED4">
        <w:rPr>
          <w:rFonts w:eastAsia="Times New Roman"/>
          <w:b/>
          <w:szCs w:val="20"/>
        </w:rPr>
        <w:t xml:space="preserve">Who </w:t>
      </w:r>
      <w:r w:rsidR="00E41597" w:rsidRPr="00AA7ED4">
        <w:rPr>
          <w:rFonts w:eastAsia="Times New Roman"/>
          <w:b/>
          <w:szCs w:val="20"/>
        </w:rPr>
        <w:t>Can</w:t>
      </w:r>
      <w:r w:rsidRPr="00AA7ED4">
        <w:rPr>
          <w:rFonts w:eastAsia="Times New Roman"/>
          <w:b/>
          <w:szCs w:val="20"/>
        </w:rPr>
        <w:t xml:space="preserve"> Apply</w:t>
      </w:r>
      <w:r w:rsidR="00F83605">
        <w:rPr>
          <w:rFonts w:eastAsia="Times New Roman"/>
          <w:b/>
          <w:szCs w:val="20"/>
        </w:rPr>
        <w:t>:</w:t>
      </w:r>
    </w:p>
    <w:p w:rsidR="001A4B86" w:rsidRPr="00AA7ED4" w:rsidRDefault="001A4B86" w:rsidP="001A4B86">
      <w:pPr>
        <w:numPr>
          <w:ilvl w:val="0"/>
          <w:numId w:val="2"/>
        </w:numPr>
        <w:spacing w:after="0"/>
        <w:rPr>
          <w:rFonts w:eastAsia="Times New Roman"/>
          <w:szCs w:val="20"/>
        </w:rPr>
      </w:pPr>
      <w:r w:rsidRPr="00AA7ED4">
        <w:rPr>
          <w:rFonts w:eastAsia="Times New Roman"/>
          <w:szCs w:val="20"/>
        </w:rPr>
        <w:t>Existing community public water systems including political subdivisions, nonprofit water supply corporations, and privately owned community water systems</w:t>
      </w:r>
    </w:p>
    <w:p w:rsidR="001A4B86" w:rsidRPr="00AA7ED4" w:rsidRDefault="001A4B86" w:rsidP="001A4B86">
      <w:pPr>
        <w:numPr>
          <w:ilvl w:val="0"/>
          <w:numId w:val="2"/>
        </w:numPr>
        <w:spacing w:after="0"/>
        <w:rPr>
          <w:rFonts w:eastAsia="Times New Roman"/>
          <w:szCs w:val="20"/>
        </w:rPr>
      </w:pPr>
      <w:r w:rsidRPr="00AA7ED4">
        <w:rPr>
          <w:rFonts w:eastAsia="Times New Roman"/>
          <w:szCs w:val="20"/>
        </w:rPr>
        <w:t>Nonprofit, non-community, public water systems</w:t>
      </w:r>
    </w:p>
    <w:p w:rsidR="001A4B86" w:rsidRPr="00AA7ED4" w:rsidRDefault="001A4B86" w:rsidP="001A4B86">
      <w:pPr>
        <w:numPr>
          <w:ilvl w:val="0"/>
          <w:numId w:val="2"/>
        </w:numPr>
        <w:spacing w:after="120"/>
        <w:rPr>
          <w:rFonts w:eastAsia="Times New Roman"/>
          <w:szCs w:val="20"/>
        </w:rPr>
      </w:pPr>
      <w:r w:rsidRPr="00AA7ED4">
        <w:rPr>
          <w:rFonts w:eastAsia="Times New Roman"/>
          <w:szCs w:val="20"/>
        </w:rPr>
        <w:t>State agencies</w:t>
      </w:r>
    </w:p>
    <w:p w:rsidR="001A4B86" w:rsidRPr="00AA7ED4" w:rsidRDefault="00A4372E" w:rsidP="001A4B86">
      <w:pPr>
        <w:spacing w:after="0"/>
        <w:rPr>
          <w:rFonts w:eastAsia="Times New Roman"/>
          <w:b/>
          <w:szCs w:val="20"/>
        </w:rPr>
      </w:pPr>
      <w:r>
        <w:rPr>
          <w:rFonts w:eastAsia="Times New Roman"/>
          <w:b/>
          <w:szCs w:val="20"/>
        </w:rPr>
        <w:t xml:space="preserve">Examples of </w:t>
      </w:r>
      <w:r w:rsidR="00F83605">
        <w:rPr>
          <w:rFonts w:eastAsia="Times New Roman"/>
          <w:b/>
          <w:szCs w:val="20"/>
        </w:rPr>
        <w:t>Eligible Projects:</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Correct water system deficiencies including water quality, capacity, pressure, and water loss</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Upgrade or replace water systems</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Provide new or existing water service to other water systems through consolidation projects</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Purchase capacity in water systems</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Purchase water systems</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Implement green projects (pursuant to EPA guidance)</w:t>
      </w:r>
    </w:p>
    <w:p w:rsidR="006E2427" w:rsidRPr="00AA7ED4" w:rsidRDefault="006E2427" w:rsidP="006E2427">
      <w:pPr>
        <w:numPr>
          <w:ilvl w:val="0"/>
          <w:numId w:val="3"/>
        </w:numPr>
        <w:spacing w:after="0"/>
        <w:rPr>
          <w:rFonts w:eastAsia="Times New Roman"/>
          <w:szCs w:val="20"/>
        </w:rPr>
      </w:pPr>
      <w:r w:rsidRPr="00AA7ED4">
        <w:rPr>
          <w:rFonts w:eastAsia="Times New Roman"/>
          <w:szCs w:val="20"/>
        </w:rPr>
        <w:t>Implement source water protection projects</w:t>
      </w:r>
    </w:p>
    <w:p w:rsidR="006E2427" w:rsidRPr="00AA7ED4" w:rsidRDefault="006E2427" w:rsidP="00355E92">
      <w:pPr>
        <w:numPr>
          <w:ilvl w:val="0"/>
          <w:numId w:val="3"/>
        </w:numPr>
        <w:spacing w:after="240"/>
        <w:ind w:left="547" w:hanging="187"/>
        <w:rPr>
          <w:rFonts w:eastAsia="Times New Roman"/>
          <w:szCs w:val="20"/>
        </w:rPr>
      </w:pPr>
      <w:r w:rsidRPr="00AA7ED4">
        <w:rPr>
          <w:rFonts w:eastAsia="Times New Roman"/>
          <w:szCs w:val="20"/>
        </w:rPr>
        <w:t>Pay for other costs necessary to secure or issue debt</w:t>
      </w:r>
    </w:p>
    <w:p w:rsidR="001A4B86" w:rsidRPr="00AA7ED4" w:rsidRDefault="00A4372E" w:rsidP="001A4B86">
      <w:pPr>
        <w:spacing w:after="0"/>
        <w:rPr>
          <w:rFonts w:eastAsia="Times New Roman"/>
          <w:b/>
        </w:rPr>
      </w:pPr>
      <w:r>
        <w:rPr>
          <w:rFonts w:eastAsia="Times New Roman"/>
          <w:b/>
        </w:rPr>
        <w:t xml:space="preserve">Example of </w:t>
      </w:r>
      <w:r w:rsidR="00F83605">
        <w:rPr>
          <w:rFonts w:eastAsia="Times New Roman"/>
          <w:b/>
        </w:rPr>
        <w:t>Inel</w:t>
      </w:r>
      <w:r w:rsidR="00917934">
        <w:rPr>
          <w:rFonts w:eastAsia="Times New Roman"/>
          <w:b/>
        </w:rPr>
        <w:t>i</w:t>
      </w:r>
      <w:r w:rsidR="00F83605">
        <w:rPr>
          <w:rFonts w:eastAsia="Times New Roman"/>
          <w:b/>
        </w:rPr>
        <w:t>gible Projects:</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Projects primarily intended to facilitate growth</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Water rights, unless owned by a system being purchased through consolidation</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Construction of reservoirs</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Dams or rehabilitation of dams</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Projects for systems in significant noncompliance, unless funding will ensure compliance</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Projects for systems that lack adequate financial, managerial, and/or technical (FMT) capability, unless assistance will ensure compliance</w:t>
      </w:r>
    </w:p>
    <w:p w:rsidR="00AF5377" w:rsidRPr="00AA7ED4" w:rsidRDefault="00AF5377" w:rsidP="00AF5377">
      <w:pPr>
        <w:numPr>
          <w:ilvl w:val="0"/>
          <w:numId w:val="4"/>
        </w:numPr>
        <w:spacing w:after="0"/>
        <w:ind w:left="547" w:hanging="187"/>
        <w:rPr>
          <w:rFonts w:eastAsia="Times New Roman"/>
        </w:rPr>
      </w:pPr>
      <w:r w:rsidRPr="00AA7ED4">
        <w:rPr>
          <w:rFonts w:eastAsia="Times New Roman"/>
        </w:rPr>
        <w:t>Routine laboratory fees or ongoing operational expenses</w:t>
      </w:r>
    </w:p>
    <w:p w:rsidR="001A4B86" w:rsidRPr="00AA7ED4" w:rsidRDefault="00AF5377" w:rsidP="00090B68">
      <w:pPr>
        <w:numPr>
          <w:ilvl w:val="0"/>
          <w:numId w:val="4"/>
        </w:numPr>
        <w:spacing w:after="240"/>
        <w:ind w:left="547" w:hanging="187"/>
        <w:rPr>
          <w:rFonts w:eastAsia="Times New Roman"/>
        </w:rPr>
      </w:pPr>
      <w:r w:rsidRPr="00AA7ED4">
        <w:rPr>
          <w:rFonts w:eastAsia="Times New Roman"/>
        </w:rPr>
        <w:t>Fire protection projects (unless incidental to the main project scope)</w:t>
      </w:r>
    </w:p>
    <w:p w:rsidR="00F83605" w:rsidRDefault="00F83605" w:rsidP="00A4372E">
      <w:pPr>
        <w:spacing w:after="120"/>
        <w:rPr>
          <w:rFonts w:eastAsia="Times New Roman"/>
          <w:b/>
          <w:sz w:val="32"/>
          <w:szCs w:val="32"/>
          <w:u w:val="single"/>
        </w:rPr>
      </w:pPr>
    </w:p>
    <w:p w:rsidR="00467E85" w:rsidRDefault="00467E85" w:rsidP="00A4372E">
      <w:pPr>
        <w:spacing w:after="120"/>
        <w:rPr>
          <w:rFonts w:eastAsia="Times New Roman"/>
          <w:b/>
          <w:sz w:val="32"/>
          <w:szCs w:val="32"/>
          <w:u w:val="single"/>
        </w:rPr>
      </w:pPr>
    </w:p>
    <w:p w:rsidR="00467E85" w:rsidRDefault="00467E85" w:rsidP="00A4372E">
      <w:pPr>
        <w:spacing w:after="120"/>
        <w:rPr>
          <w:rFonts w:eastAsia="Times New Roman"/>
          <w:b/>
          <w:sz w:val="32"/>
          <w:szCs w:val="32"/>
          <w:u w:val="single"/>
        </w:rPr>
      </w:pPr>
    </w:p>
    <w:p w:rsidR="00467E85" w:rsidRDefault="00467E85" w:rsidP="00A4372E">
      <w:pPr>
        <w:spacing w:after="120"/>
        <w:rPr>
          <w:rFonts w:eastAsia="Times New Roman"/>
          <w:b/>
          <w:sz w:val="32"/>
          <w:szCs w:val="32"/>
          <w:u w:val="single"/>
        </w:rPr>
      </w:pPr>
    </w:p>
    <w:p w:rsidR="00186B14" w:rsidRDefault="00186B14" w:rsidP="00A4372E">
      <w:pPr>
        <w:spacing w:after="120"/>
        <w:rPr>
          <w:rFonts w:eastAsia="Times New Roman"/>
          <w:b/>
          <w:sz w:val="32"/>
          <w:szCs w:val="32"/>
          <w:u w:val="single"/>
        </w:rPr>
      </w:pPr>
    </w:p>
    <w:p w:rsidR="001A4B86" w:rsidRDefault="00A4372E" w:rsidP="00A4372E">
      <w:pPr>
        <w:spacing w:after="120"/>
        <w:rPr>
          <w:rFonts w:eastAsia="Times New Roman"/>
          <w:b/>
          <w:sz w:val="32"/>
          <w:szCs w:val="32"/>
          <w:u w:val="single"/>
        </w:rPr>
      </w:pPr>
      <w:r w:rsidRPr="00A4372E">
        <w:rPr>
          <w:rFonts w:eastAsia="Times New Roman"/>
          <w:b/>
          <w:sz w:val="32"/>
          <w:szCs w:val="32"/>
          <w:u w:val="single"/>
        </w:rPr>
        <w:lastRenderedPageBreak/>
        <w:t>Funding Availability</w:t>
      </w:r>
    </w:p>
    <w:p w:rsidR="004024F4" w:rsidRDefault="004024F4" w:rsidP="004024F4">
      <w:pPr>
        <w:spacing w:after="120"/>
        <w:rPr>
          <w:color w:val="000000"/>
        </w:rPr>
      </w:pPr>
      <w:r>
        <w:rPr>
          <w:color w:val="000000"/>
        </w:rPr>
        <w:t>Funding capacity and additional subsidization allocations are determined on an annual basis and are</w:t>
      </w:r>
      <w:r w:rsidR="00A4372E">
        <w:rPr>
          <w:color w:val="000000"/>
        </w:rPr>
        <w:t xml:space="preserve"> detailed in the Intended Use </w:t>
      </w:r>
      <w:r>
        <w:rPr>
          <w:color w:val="000000"/>
        </w:rPr>
        <w:t xml:space="preserve">Plan. </w:t>
      </w:r>
    </w:p>
    <w:p w:rsidR="004024F4" w:rsidRDefault="00E83FA8" w:rsidP="004024F4">
      <w:pPr>
        <w:spacing w:after="120"/>
        <w:rPr>
          <w:color w:val="000000"/>
        </w:rPr>
      </w:pPr>
      <w:r w:rsidRPr="00AA7ED4">
        <w:rPr>
          <w:color w:val="000000"/>
        </w:rPr>
        <w:t xml:space="preserve">Additional subsidization is </w:t>
      </w:r>
      <w:r w:rsidR="00A4372E">
        <w:rPr>
          <w:color w:val="000000"/>
        </w:rPr>
        <w:t>available</w:t>
      </w:r>
      <w:r w:rsidRPr="00AA7ED4">
        <w:rPr>
          <w:color w:val="000000"/>
        </w:rPr>
        <w:t xml:space="preserve"> in the form of principal forgiveness for </w:t>
      </w:r>
      <w:r w:rsidR="004024F4">
        <w:rPr>
          <w:color w:val="000000"/>
        </w:rPr>
        <w:t>the following:</w:t>
      </w:r>
    </w:p>
    <w:p w:rsidR="004024F4" w:rsidRDefault="00E83FA8" w:rsidP="004024F4">
      <w:pPr>
        <w:spacing w:after="0"/>
        <w:rPr>
          <w:color w:val="000000"/>
        </w:rPr>
      </w:pPr>
      <w:r w:rsidRPr="00F83605">
        <w:rPr>
          <w:color w:val="000000"/>
          <w:u w:val="single"/>
        </w:rPr>
        <w:t>Disadvantaged Communities</w:t>
      </w:r>
      <w:r w:rsidR="00AF05AA" w:rsidRPr="00AF05AA">
        <w:rPr>
          <w:color w:val="000000"/>
        </w:rPr>
        <w:t xml:space="preserve"> - the community must meet the DWSRF’s affordability criteria based on income, unemployment rates, and population trends.</w:t>
      </w:r>
    </w:p>
    <w:p w:rsidR="00E13C19" w:rsidRDefault="004024F4" w:rsidP="00E13C19">
      <w:pPr>
        <w:spacing w:after="0"/>
        <w:rPr>
          <w:color w:val="000000"/>
        </w:rPr>
      </w:pPr>
      <w:r w:rsidRPr="004024F4">
        <w:rPr>
          <w:color w:val="000000"/>
          <w:u w:val="single"/>
        </w:rPr>
        <w:t>Green Projects</w:t>
      </w:r>
      <w:r w:rsidR="00E13C19">
        <w:rPr>
          <w:color w:val="000000"/>
        </w:rPr>
        <w:t xml:space="preserve">– </w:t>
      </w:r>
      <w:r w:rsidR="00E13C19" w:rsidRPr="008202DC">
        <w:rPr>
          <w:color w:val="000000"/>
        </w:rPr>
        <w:t xml:space="preserve">Entities may receive </w:t>
      </w:r>
      <w:r w:rsidR="00E13C19">
        <w:rPr>
          <w:color w:val="000000"/>
        </w:rPr>
        <w:t>s</w:t>
      </w:r>
      <w:r w:rsidR="00E13C19" w:rsidRPr="008202DC">
        <w:rPr>
          <w:color w:val="000000"/>
        </w:rPr>
        <w:t xml:space="preserve">ubsidized Green principal forgiveness if their project has elements that are considered green and the cost of the green portion of their project is </w:t>
      </w:r>
      <w:r w:rsidR="00E13C19">
        <w:rPr>
          <w:color w:val="000000"/>
        </w:rPr>
        <w:t xml:space="preserve">at least </w:t>
      </w:r>
      <w:r w:rsidR="00E13C19" w:rsidRPr="008202DC">
        <w:rPr>
          <w:color w:val="000000"/>
        </w:rPr>
        <w:t xml:space="preserve">30% </w:t>
      </w:r>
      <w:r w:rsidR="00E13C19">
        <w:rPr>
          <w:color w:val="000000"/>
        </w:rPr>
        <w:t>of</w:t>
      </w:r>
      <w:r w:rsidR="00E13C19" w:rsidRPr="008202DC">
        <w:rPr>
          <w:color w:val="000000"/>
        </w:rPr>
        <w:t xml:space="preserve"> the total project cost.</w:t>
      </w:r>
      <w:r w:rsidR="00E13C19">
        <w:rPr>
          <w:color w:val="000000"/>
        </w:rPr>
        <w:t xml:space="preserve">  </w:t>
      </w:r>
      <w:r w:rsidR="00E13C19" w:rsidRPr="002D57A2">
        <w:rPr>
          <w:color w:val="000000"/>
        </w:rPr>
        <w:t>This funding option offers principal forgiveness for up to 15% of the total eligible green component costs</w:t>
      </w:r>
      <w:r w:rsidR="00E13C19">
        <w:rPr>
          <w:color w:val="000000"/>
        </w:rPr>
        <w:t>.</w:t>
      </w:r>
    </w:p>
    <w:p w:rsidR="004024F4" w:rsidRDefault="00E83FA8" w:rsidP="00E13C19">
      <w:pPr>
        <w:spacing w:after="0"/>
        <w:rPr>
          <w:color w:val="000000"/>
        </w:rPr>
      </w:pPr>
      <w:r w:rsidRPr="004024F4">
        <w:rPr>
          <w:color w:val="000000"/>
          <w:u w:val="single"/>
        </w:rPr>
        <w:t>Very Small Systems</w:t>
      </w:r>
      <w:r w:rsidR="004024F4">
        <w:rPr>
          <w:color w:val="000000"/>
        </w:rPr>
        <w:t xml:space="preserve"> – Available to systems serving populations of less than or equal to 1,000.</w:t>
      </w:r>
    </w:p>
    <w:p w:rsidR="004024F4" w:rsidRDefault="00E83FA8" w:rsidP="00E13C19">
      <w:pPr>
        <w:spacing w:after="0"/>
        <w:rPr>
          <w:color w:val="000000"/>
        </w:rPr>
      </w:pPr>
      <w:r w:rsidRPr="004024F4">
        <w:rPr>
          <w:color w:val="000000"/>
          <w:u w:val="single"/>
        </w:rPr>
        <w:t>Urgent Need</w:t>
      </w:r>
      <w:r w:rsidR="004024F4">
        <w:rPr>
          <w:color w:val="000000"/>
        </w:rPr>
        <w:t xml:space="preserve"> – Assistance needed in emergency situations. </w:t>
      </w:r>
    </w:p>
    <w:p w:rsidR="00E13C19" w:rsidRDefault="00E13C19" w:rsidP="00E13C19">
      <w:pPr>
        <w:spacing w:after="0"/>
        <w:rPr>
          <w:color w:val="000000"/>
        </w:rPr>
      </w:pPr>
    </w:p>
    <w:p w:rsidR="004024F4" w:rsidRDefault="004024F4" w:rsidP="00091E9E">
      <w:pPr>
        <w:spacing w:after="120"/>
        <w:rPr>
          <w:b/>
          <w:color w:val="000000"/>
          <w:sz w:val="32"/>
          <w:szCs w:val="32"/>
          <w:u w:val="single"/>
        </w:rPr>
      </w:pPr>
      <w:r w:rsidRPr="004024F4">
        <w:rPr>
          <w:b/>
          <w:color w:val="000000"/>
          <w:sz w:val="32"/>
          <w:szCs w:val="32"/>
          <w:u w:val="single"/>
        </w:rPr>
        <w:t>Update Forms</w:t>
      </w:r>
    </w:p>
    <w:p w:rsidR="00AA5B19" w:rsidRDefault="000137A5" w:rsidP="000137A5">
      <w:pPr>
        <w:spacing w:after="0"/>
        <w:rPr>
          <w:color w:val="000000"/>
        </w:rPr>
      </w:pPr>
      <w:r w:rsidRPr="000137A5">
        <w:rPr>
          <w:color w:val="000000"/>
        </w:rPr>
        <w:t>At any time an entity may update or amend their current project utilizing the Update Forms found here:</w:t>
      </w:r>
    </w:p>
    <w:p w:rsidR="009733F5" w:rsidRDefault="00A11D2D" w:rsidP="00DF0CEA">
      <w:pPr>
        <w:spacing w:after="120"/>
      </w:pPr>
      <w:hyperlink r:id="rId14" w:history="1">
        <w:r w:rsidR="009733F5" w:rsidRPr="005B5E9A">
          <w:rPr>
            <w:rStyle w:val="Hyperlink"/>
          </w:rPr>
          <w:t>http://www.twdb.texas.gov/financial/programs/pif.asp</w:t>
        </w:r>
      </w:hyperlink>
    </w:p>
    <w:p w:rsidR="00E908FA" w:rsidRPr="00EF783D" w:rsidRDefault="00E908FA" w:rsidP="00DF0CEA">
      <w:pPr>
        <w:spacing w:after="120"/>
        <w:rPr>
          <w:rFonts w:eastAsia="Times New Roman"/>
          <w:b/>
        </w:rPr>
      </w:pPr>
      <w:r>
        <w:rPr>
          <w:rFonts w:eastAsia="Times New Roman"/>
        </w:rPr>
        <w:t>T</w:t>
      </w:r>
      <w:r w:rsidRPr="00A43F56">
        <w:rPr>
          <w:rFonts w:eastAsia="Times New Roman"/>
        </w:rPr>
        <w:t xml:space="preserve">o ensure we have current information in the Intended Use Plan, </w:t>
      </w:r>
      <w:r w:rsidRPr="00F57131">
        <w:rPr>
          <w:rFonts w:eastAsia="Times New Roman"/>
          <w:b/>
          <w:u w:val="single"/>
        </w:rPr>
        <w:t>ALL</w:t>
      </w:r>
      <w:r>
        <w:rPr>
          <w:rFonts w:eastAsia="Times New Roman"/>
        </w:rPr>
        <w:t xml:space="preserve"> </w:t>
      </w:r>
      <w:r w:rsidRPr="00A43F56">
        <w:rPr>
          <w:rFonts w:eastAsia="Times New Roman"/>
        </w:rPr>
        <w:t xml:space="preserve">entities must update any </w:t>
      </w:r>
      <w:r w:rsidR="00F12B5B">
        <w:rPr>
          <w:rFonts w:eastAsia="Times New Roman"/>
        </w:rPr>
        <w:t>PIF</w:t>
      </w:r>
      <w:r w:rsidRPr="00A43F56">
        <w:rPr>
          <w:rFonts w:eastAsia="Times New Roman"/>
        </w:rPr>
        <w:t xml:space="preserve"> </w:t>
      </w:r>
      <w:r>
        <w:rPr>
          <w:rFonts w:eastAsia="Times New Roman"/>
        </w:rPr>
        <w:t>submitted in previous funding cycles to be included in the next fiscal year</w:t>
      </w:r>
      <w:r w:rsidR="009733F5">
        <w:rPr>
          <w:rFonts w:eastAsia="Times New Roman"/>
        </w:rPr>
        <w:t>’</w:t>
      </w:r>
      <w:r>
        <w:rPr>
          <w:rFonts w:eastAsia="Times New Roman"/>
        </w:rPr>
        <w:t>s Intended Use Plan</w:t>
      </w:r>
      <w:r w:rsidRPr="00A43F56">
        <w:rPr>
          <w:rFonts w:eastAsia="Times New Roman"/>
        </w:rPr>
        <w:t xml:space="preserve">.  </w:t>
      </w:r>
      <w:r w:rsidRPr="00EF783D">
        <w:rPr>
          <w:rFonts w:eastAsia="Times New Roman"/>
          <w:b/>
        </w:rPr>
        <w:t>At minimum, the entity must update the readiness to proceed information, and if seeking disadvantaged community eligibility, the socioeconomic economic census data and utility rate information.</w:t>
      </w:r>
    </w:p>
    <w:p w:rsidR="001A4B86" w:rsidRPr="00091E9E" w:rsidRDefault="001A4B86" w:rsidP="00091E9E">
      <w:pPr>
        <w:spacing w:after="120"/>
        <w:rPr>
          <w:rFonts w:eastAsia="Times New Roman"/>
          <w:b/>
          <w:sz w:val="32"/>
          <w:szCs w:val="32"/>
          <w:u w:val="single"/>
        </w:rPr>
      </w:pPr>
      <w:r w:rsidRPr="00091E9E">
        <w:rPr>
          <w:rFonts w:eastAsia="Times New Roman"/>
          <w:b/>
          <w:sz w:val="32"/>
          <w:szCs w:val="32"/>
          <w:u w:val="single"/>
        </w:rPr>
        <w:t>Disadvantaged Community Eligibility</w:t>
      </w:r>
    </w:p>
    <w:p w:rsidR="00A76D31" w:rsidRPr="00AA7ED4" w:rsidRDefault="00A76D31" w:rsidP="00C51B67">
      <w:pPr>
        <w:widowControl w:val="0"/>
        <w:autoSpaceDE w:val="0"/>
        <w:autoSpaceDN w:val="0"/>
        <w:adjustRightInd w:val="0"/>
        <w:spacing w:after="120"/>
        <w:rPr>
          <w:rFonts w:eastAsia="Times New Roman"/>
        </w:rPr>
      </w:pPr>
      <w:r w:rsidRPr="00AA7ED4">
        <w:rPr>
          <w:rFonts w:eastAsia="Times New Roman"/>
        </w:rPr>
        <w:t xml:space="preserve">A disadvantaged community is a community that meets the DWSRF’s affordability criteria based on income, unemployment rates, and population trends. </w:t>
      </w:r>
      <w:r w:rsidR="00F83605">
        <w:rPr>
          <w:rFonts w:eastAsia="Times New Roman"/>
        </w:rPr>
        <w:t>The entity’s Annual Median Household Income (AMHI) of the entire or portion of the service area must be less than or equal to 75% of the state’s AMHI as listed in the most recent available American Community Survey (ACS) 5-Year Estimates.</w:t>
      </w:r>
    </w:p>
    <w:p w:rsidR="00AA5B19" w:rsidRPr="00586183" w:rsidRDefault="00AA5B19" w:rsidP="00091E9E">
      <w:pPr>
        <w:spacing w:after="120"/>
        <w:contextualSpacing/>
        <w:rPr>
          <w:szCs w:val="22"/>
        </w:rPr>
      </w:pPr>
      <w:r w:rsidRPr="00586183">
        <w:rPr>
          <w:szCs w:val="22"/>
        </w:rPr>
        <w:t xml:space="preserve">The eligible level of principal forgiveness for a project is based on the difference between the calculated total </w:t>
      </w:r>
      <w:r w:rsidR="00D81117" w:rsidRPr="00586183">
        <w:rPr>
          <w:szCs w:val="22"/>
        </w:rPr>
        <w:t>Household Cost Factor (</w:t>
      </w:r>
      <w:r w:rsidRPr="00586183">
        <w:rPr>
          <w:szCs w:val="22"/>
        </w:rPr>
        <w:t>HCF</w:t>
      </w:r>
      <w:r w:rsidR="00D81117" w:rsidRPr="00586183">
        <w:rPr>
          <w:szCs w:val="22"/>
        </w:rPr>
        <w:t>)</w:t>
      </w:r>
      <w:r w:rsidRPr="00586183">
        <w:rPr>
          <w:szCs w:val="22"/>
        </w:rPr>
        <w:t xml:space="preserve"> and the minimum HCF of 1% (if only water or sewer service is provided) and 2% (if both water and sewer services are provided) as shown in the chart below:</w:t>
      </w:r>
    </w:p>
    <w:p w:rsidR="00AA5B19" w:rsidRPr="00AA7ED4" w:rsidRDefault="00AA5B19" w:rsidP="00C51B67">
      <w:pPr>
        <w:spacing w:after="0"/>
        <w:contextualSpacing/>
        <w:rPr>
          <w:sz w:val="22"/>
          <w:szCs w:val="22"/>
        </w:rPr>
      </w:pPr>
    </w:p>
    <w:tbl>
      <w:tblPr>
        <w:tblW w:w="8190" w:type="dxa"/>
        <w:jc w:val="center"/>
        <w:tblInd w:w="1584" w:type="dxa"/>
        <w:tblCellMar>
          <w:left w:w="0" w:type="dxa"/>
          <w:right w:w="0" w:type="dxa"/>
        </w:tblCellMar>
        <w:tblLook w:val="0420" w:firstRow="1" w:lastRow="0" w:firstColumn="0" w:lastColumn="0" w:noHBand="0" w:noVBand="1"/>
      </w:tblPr>
      <w:tblGrid>
        <w:gridCol w:w="3870"/>
        <w:gridCol w:w="4320"/>
      </w:tblGrid>
      <w:tr w:rsidR="00AA5B19" w:rsidRPr="00AA7ED4" w:rsidTr="00AA5B19">
        <w:trPr>
          <w:trHeight w:hRule="exact" w:val="720"/>
          <w:jc w:val="center"/>
        </w:trPr>
        <w:tc>
          <w:tcPr>
            <w:tcW w:w="3870" w:type="dxa"/>
            <w:tcBorders>
              <w:top w:val="single" w:sz="8" w:space="0" w:color="auto"/>
              <w:left w:val="single" w:sz="8" w:space="0" w:color="auto"/>
              <w:bottom w:val="single" w:sz="8" w:space="0" w:color="000000"/>
              <w:right w:val="single" w:sz="4" w:space="0" w:color="auto"/>
            </w:tcBorders>
            <w:shd w:val="clear" w:color="auto" w:fill="000000"/>
            <w:tcMar>
              <w:top w:w="72" w:type="dxa"/>
              <w:left w:w="144" w:type="dxa"/>
              <w:bottom w:w="72" w:type="dxa"/>
              <w:right w:w="144" w:type="dxa"/>
            </w:tcMar>
            <w:vAlign w:val="center"/>
            <w:hideMark/>
          </w:tcPr>
          <w:p w:rsidR="00AA5B19" w:rsidRPr="00AA7ED4" w:rsidRDefault="00D81117" w:rsidP="00AA5B19">
            <w:pPr>
              <w:widowControl w:val="0"/>
              <w:autoSpaceDE w:val="0"/>
              <w:autoSpaceDN w:val="0"/>
              <w:adjustRightInd w:val="0"/>
              <w:spacing w:after="0" w:line="276" w:lineRule="auto"/>
              <w:jc w:val="center"/>
              <w:rPr>
                <w:rFonts w:eastAsia="Times New Roman"/>
                <w:b/>
                <w:color w:val="FFFFFF"/>
                <w:sz w:val="22"/>
                <w:szCs w:val="22"/>
              </w:rPr>
            </w:pPr>
            <w:r>
              <w:rPr>
                <w:rFonts w:eastAsia="Times New Roman"/>
                <w:b/>
                <w:color w:val="FFFFFF"/>
                <w:sz w:val="22"/>
                <w:szCs w:val="22"/>
              </w:rPr>
              <w:t>HCF</w:t>
            </w:r>
            <w:r w:rsidR="00AA5B19" w:rsidRPr="00AA7ED4">
              <w:rPr>
                <w:rFonts w:eastAsia="Times New Roman"/>
                <w:b/>
                <w:color w:val="FFFFFF"/>
                <w:sz w:val="22"/>
                <w:szCs w:val="22"/>
              </w:rPr>
              <w:t xml:space="preserve"> Difference</w:t>
            </w:r>
          </w:p>
        </w:tc>
        <w:tc>
          <w:tcPr>
            <w:tcW w:w="4320" w:type="dxa"/>
            <w:tcBorders>
              <w:top w:val="single" w:sz="8" w:space="0" w:color="auto"/>
              <w:left w:val="single" w:sz="4" w:space="0" w:color="auto"/>
              <w:bottom w:val="single" w:sz="8" w:space="0" w:color="auto"/>
              <w:right w:val="single" w:sz="8" w:space="0" w:color="000000"/>
            </w:tcBorders>
            <w:shd w:val="clear" w:color="auto" w:fill="000000"/>
            <w:tcMar>
              <w:top w:w="72" w:type="dxa"/>
              <w:left w:w="144" w:type="dxa"/>
              <w:bottom w:w="72" w:type="dxa"/>
              <w:right w:w="144" w:type="dxa"/>
            </w:tcMar>
            <w:vAlign w:val="center"/>
            <w:hideMark/>
          </w:tcPr>
          <w:p w:rsidR="00AA5B19" w:rsidRPr="00AA7ED4" w:rsidRDefault="00AA5B19" w:rsidP="00AA5B19">
            <w:pPr>
              <w:widowControl w:val="0"/>
              <w:autoSpaceDE w:val="0"/>
              <w:autoSpaceDN w:val="0"/>
              <w:adjustRightInd w:val="0"/>
              <w:spacing w:after="0" w:line="276" w:lineRule="auto"/>
              <w:jc w:val="center"/>
              <w:rPr>
                <w:rFonts w:eastAsia="Times New Roman"/>
                <w:b/>
                <w:color w:val="FFFFFF"/>
                <w:sz w:val="22"/>
                <w:szCs w:val="22"/>
              </w:rPr>
            </w:pPr>
            <w:r w:rsidRPr="00AA7ED4">
              <w:rPr>
                <w:rFonts w:eastAsia="Times New Roman"/>
                <w:b/>
                <w:color w:val="FFFFFF"/>
                <w:sz w:val="22"/>
                <w:szCs w:val="22"/>
              </w:rPr>
              <w:t>Principal Forgiveness as a % of estimated DWSRF-funded project costs</w:t>
            </w:r>
          </w:p>
        </w:tc>
      </w:tr>
      <w:tr w:rsidR="00AA5B19" w:rsidRPr="00AA7ED4" w:rsidTr="00F57131">
        <w:trPr>
          <w:trHeight w:hRule="exact" w:val="404"/>
          <w:jc w:val="center"/>
        </w:trPr>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5B19" w:rsidRPr="00AA7ED4" w:rsidRDefault="00AA5B19" w:rsidP="00AA5B19">
            <w:pPr>
              <w:widowControl w:val="0"/>
              <w:autoSpaceDE w:val="0"/>
              <w:autoSpaceDN w:val="0"/>
              <w:adjustRightInd w:val="0"/>
              <w:spacing w:after="0" w:line="276" w:lineRule="auto"/>
              <w:jc w:val="center"/>
              <w:rPr>
                <w:rFonts w:eastAsia="Times New Roman"/>
                <w:sz w:val="22"/>
                <w:szCs w:val="22"/>
              </w:rPr>
            </w:pPr>
            <w:r w:rsidRPr="00AA7ED4">
              <w:rPr>
                <w:rFonts w:eastAsia="Times New Roman"/>
                <w:sz w:val="22"/>
                <w:szCs w:val="22"/>
              </w:rPr>
              <w:t>≥ 0% and &lt; 1.5%</w:t>
            </w:r>
          </w:p>
        </w:tc>
        <w:tc>
          <w:tcPr>
            <w:tcW w:w="4320" w:type="dxa"/>
            <w:tcBorders>
              <w:top w:val="single" w:sz="8"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5B19" w:rsidRPr="00AA7ED4" w:rsidRDefault="00AA5B19" w:rsidP="00AA5B19">
            <w:pPr>
              <w:widowControl w:val="0"/>
              <w:autoSpaceDE w:val="0"/>
              <w:autoSpaceDN w:val="0"/>
              <w:adjustRightInd w:val="0"/>
              <w:spacing w:after="0" w:line="276" w:lineRule="auto"/>
              <w:jc w:val="center"/>
              <w:rPr>
                <w:rFonts w:eastAsia="Times New Roman"/>
                <w:sz w:val="22"/>
                <w:szCs w:val="22"/>
              </w:rPr>
            </w:pPr>
            <w:r w:rsidRPr="00AA7ED4">
              <w:rPr>
                <w:rFonts w:eastAsia="Times New Roman"/>
                <w:sz w:val="22"/>
                <w:szCs w:val="22"/>
              </w:rPr>
              <w:t>30%</w:t>
            </w:r>
          </w:p>
        </w:tc>
      </w:tr>
      <w:tr w:rsidR="00AA5B19" w:rsidRPr="00AA7ED4" w:rsidTr="00F57131">
        <w:trPr>
          <w:trHeight w:hRule="exact" w:val="377"/>
          <w:jc w:val="center"/>
        </w:trPr>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5B19" w:rsidRPr="00AA7ED4" w:rsidRDefault="00AA5B19" w:rsidP="00AA5B19">
            <w:pPr>
              <w:widowControl w:val="0"/>
              <w:autoSpaceDE w:val="0"/>
              <w:autoSpaceDN w:val="0"/>
              <w:adjustRightInd w:val="0"/>
              <w:spacing w:after="0" w:line="276" w:lineRule="auto"/>
              <w:jc w:val="center"/>
              <w:rPr>
                <w:rFonts w:eastAsia="Times New Roman"/>
                <w:sz w:val="22"/>
                <w:szCs w:val="22"/>
              </w:rPr>
            </w:pPr>
            <w:r w:rsidRPr="00AA7ED4">
              <w:rPr>
                <w:rFonts w:eastAsia="Times New Roman"/>
                <w:sz w:val="22"/>
                <w:szCs w:val="22"/>
              </w:rPr>
              <w:t>≥ 1.5% and &lt; 3%</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5B19" w:rsidRPr="00AA7ED4" w:rsidRDefault="00AA5B19" w:rsidP="00AA5B19">
            <w:pPr>
              <w:widowControl w:val="0"/>
              <w:autoSpaceDE w:val="0"/>
              <w:autoSpaceDN w:val="0"/>
              <w:adjustRightInd w:val="0"/>
              <w:spacing w:after="0" w:line="276" w:lineRule="auto"/>
              <w:jc w:val="center"/>
              <w:rPr>
                <w:rFonts w:eastAsia="Times New Roman"/>
                <w:sz w:val="22"/>
                <w:szCs w:val="22"/>
              </w:rPr>
            </w:pPr>
            <w:r w:rsidRPr="00AA7ED4">
              <w:rPr>
                <w:rFonts w:eastAsia="Times New Roman"/>
                <w:sz w:val="22"/>
                <w:szCs w:val="22"/>
              </w:rPr>
              <w:t>50%</w:t>
            </w:r>
          </w:p>
        </w:tc>
      </w:tr>
      <w:tr w:rsidR="00AA5B19" w:rsidRPr="00AA7ED4" w:rsidTr="00447319">
        <w:trPr>
          <w:trHeight w:hRule="exact" w:val="360"/>
          <w:jc w:val="center"/>
        </w:trPr>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5B19" w:rsidRPr="00AA7ED4" w:rsidRDefault="00AA5B19" w:rsidP="00AA5B19">
            <w:pPr>
              <w:widowControl w:val="0"/>
              <w:autoSpaceDE w:val="0"/>
              <w:autoSpaceDN w:val="0"/>
              <w:adjustRightInd w:val="0"/>
              <w:spacing w:after="0" w:line="276" w:lineRule="auto"/>
              <w:jc w:val="center"/>
              <w:rPr>
                <w:rFonts w:eastAsia="Times New Roman"/>
                <w:sz w:val="22"/>
                <w:szCs w:val="22"/>
              </w:rPr>
            </w:pPr>
            <w:r w:rsidRPr="00AA7ED4">
              <w:rPr>
                <w:rFonts w:eastAsia="Times New Roman"/>
                <w:sz w:val="22"/>
                <w:szCs w:val="22"/>
              </w:rPr>
              <w:t>≥ 3%</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5B19" w:rsidRPr="00AA7ED4" w:rsidRDefault="00AA5B19" w:rsidP="00AA5B19">
            <w:pPr>
              <w:widowControl w:val="0"/>
              <w:autoSpaceDE w:val="0"/>
              <w:autoSpaceDN w:val="0"/>
              <w:adjustRightInd w:val="0"/>
              <w:spacing w:after="0" w:line="276" w:lineRule="auto"/>
              <w:jc w:val="center"/>
              <w:rPr>
                <w:rFonts w:eastAsia="Times New Roman"/>
                <w:sz w:val="22"/>
                <w:szCs w:val="22"/>
              </w:rPr>
            </w:pPr>
            <w:r w:rsidRPr="00AA7ED4">
              <w:rPr>
                <w:rFonts w:eastAsia="Times New Roman"/>
                <w:sz w:val="22"/>
                <w:szCs w:val="22"/>
              </w:rPr>
              <w:t>70%</w:t>
            </w:r>
          </w:p>
        </w:tc>
      </w:tr>
    </w:tbl>
    <w:p w:rsidR="00AA5B19" w:rsidRPr="00AA7ED4" w:rsidRDefault="00AA5B19" w:rsidP="00AA5B19">
      <w:pPr>
        <w:spacing w:after="240" w:line="276" w:lineRule="auto"/>
        <w:contextualSpacing/>
        <w:rPr>
          <w:sz w:val="22"/>
          <w:szCs w:val="22"/>
        </w:rPr>
      </w:pPr>
    </w:p>
    <w:p w:rsidR="001A4B86" w:rsidRDefault="001A4B86" w:rsidP="00E908FA">
      <w:pPr>
        <w:autoSpaceDE w:val="0"/>
        <w:autoSpaceDN w:val="0"/>
        <w:adjustRightInd w:val="0"/>
        <w:spacing w:after="240"/>
        <w:jc w:val="center"/>
        <w:rPr>
          <w:rFonts w:eastAsia="Times New Roman"/>
          <w:b/>
        </w:rPr>
      </w:pPr>
      <w:r w:rsidRPr="00E908FA">
        <w:rPr>
          <w:rFonts w:eastAsia="Times New Roman"/>
          <w:b/>
        </w:rPr>
        <w:t>A Disadvantaged Community Worksheet must be submitted to be considered for this funding option.</w:t>
      </w:r>
    </w:p>
    <w:p w:rsidR="00486BDE" w:rsidRPr="00586183" w:rsidRDefault="00486BDE" w:rsidP="00586183">
      <w:pPr>
        <w:autoSpaceDE w:val="0"/>
        <w:autoSpaceDN w:val="0"/>
        <w:adjustRightInd w:val="0"/>
        <w:spacing w:after="240"/>
        <w:rPr>
          <w:b/>
          <w:u w:val="single"/>
        </w:rPr>
      </w:pPr>
      <w:r>
        <w:rPr>
          <w:b/>
          <w:u w:val="single"/>
        </w:rPr>
        <w:lastRenderedPageBreak/>
        <w:t>Allocation Considerations</w:t>
      </w:r>
    </w:p>
    <w:p w:rsidR="00486BDE" w:rsidRPr="00486BDE" w:rsidRDefault="00486BDE" w:rsidP="00586183">
      <w:pPr>
        <w:autoSpaceDE w:val="0"/>
        <w:autoSpaceDN w:val="0"/>
        <w:adjustRightInd w:val="0"/>
        <w:spacing w:after="240"/>
        <w:rPr>
          <w:rFonts w:eastAsia="Times New Roman"/>
          <w:b/>
        </w:rPr>
      </w:pPr>
      <w:r w:rsidRPr="00586183">
        <w:t>The TWDB is considering establishing that not more than 25 percent of the total Disadvantaged Community allocation may be provided to any particular entity for their projects in the SFY 2019 IUP. However, if the Household Cost Factor Difference for all the entity’s projects in the IUP are greater than 5%, the maximum amount provided could be not more than 33% of the total allocation</w:t>
      </w:r>
      <w:r>
        <w:t>.</w:t>
      </w:r>
    </w:p>
    <w:p w:rsidR="00E908FA" w:rsidRDefault="00E908FA" w:rsidP="00E908FA">
      <w:pPr>
        <w:autoSpaceDE w:val="0"/>
        <w:autoSpaceDN w:val="0"/>
        <w:adjustRightInd w:val="0"/>
        <w:spacing w:after="240"/>
        <w:rPr>
          <w:rFonts w:eastAsia="Times New Roman"/>
          <w:b/>
          <w:u w:val="single"/>
        </w:rPr>
      </w:pPr>
      <w:r w:rsidRPr="00AF59F9">
        <w:rPr>
          <w:rFonts w:eastAsia="Times New Roman"/>
          <w:b/>
          <w:u w:val="single"/>
        </w:rPr>
        <w:t>American Community Survey (ACS) 5-Year Estimates</w:t>
      </w:r>
      <w:r>
        <w:rPr>
          <w:rFonts w:eastAsia="Times New Roman"/>
          <w:b/>
          <w:u w:val="single"/>
        </w:rPr>
        <w:t xml:space="preserve"> to use for SFY </w:t>
      </w:r>
      <w:r w:rsidR="00467E85">
        <w:rPr>
          <w:rFonts w:eastAsia="Times New Roman"/>
          <w:b/>
          <w:u w:val="single"/>
        </w:rPr>
        <w:t xml:space="preserve">2018 </w:t>
      </w:r>
      <w:r>
        <w:rPr>
          <w:rFonts w:eastAsia="Times New Roman"/>
          <w:b/>
          <w:u w:val="single"/>
        </w:rPr>
        <w:t xml:space="preserve">and SFY </w:t>
      </w:r>
      <w:r w:rsidR="00467E85">
        <w:rPr>
          <w:rFonts w:eastAsia="Times New Roman"/>
          <w:b/>
          <w:u w:val="single"/>
        </w:rPr>
        <w:t>2019</w:t>
      </w:r>
      <w:r>
        <w:rPr>
          <w:rFonts w:eastAsia="Times New Roman"/>
          <w:b/>
          <w:u w:val="single"/>
        </w:rPr>
        <w:t>:</w:t>
      </w:r>
    </w:p>
    <w:p w:rsidR="00E908FA" w:rsidRPr="00AF59F9" w:rsidRDefault="00E908FA" w:rsidP="00E908FA">
      <w:pPr>
        <w:autoSpaceDE w:val="0"/>
        <w:autoSpaceDN w:val="0"/>
        <w:adjustRightInd w:val="0"/>
        <w:spacing w:after="240"/>
        <w:rPr>
          <w:rFonts w:eastAsia="Times New Roman"/>
        </w:rPr>
      </w:pPr>
      <w:r w:rsidRPr="00AF59F9">
        <w:rPr>
          <w:rFonts w:eastAsia="Times New Roman"/>
        </w:rPr>
        <w:t xml:space="preserve">For SFY </w:t>
      </w:r>
      <w:r w:rsidR="00467E85" w:rsidRPr="00AF59F9">
        <w:rPr>
          <w:rFonts w:eastAsia="Times New Roman"/>
        </w:rPr>
        <w:t>201</w:t>
      </w:r>
      <w:r w:rsidR="00467E85">
        <w:rPr>
          <w:rFonts w:eastAsia="Times New Roman"/>
        </w:rPr>
        <w:t>8</w:t>
      </w:r>
      <w:r>
        <w:rPr>
          <w:rFonts w:eastAsia="Times New Roman"/>
        </w:rPr>
        <w:t>,</w:t>
      </w:r>
      <w:r w:rsidRPr="00AF59F9">
        <w:rPr>
          <w:rFonts w:eastAsia="Times New Roman"/>
        </w:rPr>
        <w:t xml:space="preserve"> use </w:t>
      </w:r>
      <w:r>
        <w:rPr>
          <w:rFonts w:eastAsia="Times New Roman"/>
        </w:rPr>
        <w:t xml:space="preserve">the </w:t>
      </w:r>
      <w:r w:rsidR="00467E85" w:rsidRPr="00867749">
        <w:rPr>
          <w:rFonts w:eastAsia="Times New Roman"/>
        </w:rPr>
        <w:t>201</w:t>
      </w:r>
      <w:r w:rsidR="00467E85">
        <w:rPr>
          <w:rFonts w:eastAsia="Times New Roman"/>
        </w:rPr>
        <w:t>1</w:t>
      </w:r>
      <w:r w:rsidR="00467E85" w:rsidRPr="00867749">
        <w:rPr>
          <w:rFonts w:eastAsia="Times New Roman"/>
        </w:rPr>
        <w:t xml:space="preserve"> </w:t>
      </w:r>
      <w:r>
        <w:rPr>
          <w:rFonts w:eastAsia="Times New Roman"/>
        </w:rPr>
        <w:t>–</w:t>
      </w:r>
      <w:r w:rsidRPr="00867749">
        <w:rPr>
          <w:rFonts w:eastAsia="Times New Roman"/>
        </w:rPr>
        <w:t xml:space="preserve"> </w:t>
      </w:r>
      <w:r w:rsidR="00467E85" w:rsidRPr="00867749">
        <w:rPr>
          <w:rFonts w:eastAsia="Times New Roman"/>
        </w:rPr>
        <w:t>201</w:t>
      </w:r>
      <w:r w:rsidR="00467E85">
        <w:rPr>
          <w:rFonts w:eastAsia="Times New Roman"/>
        </w:rPr>
        <w:t xml:space="preserve">5 </w:t>
      </w:r>
      <w:r>
        <w:rPr>
          <w:rFonts w:eastAsia="Times New Roman"/>
        </w:rPr>
        <w:t xml:space="preserve">ACS 5-year estimates (and for calculating the population adjustment for the Household Cost Factor, compare it to the population found in the </w:t>
      </w:r>
      <w:r w:rsidR="00467E85">
        <w:rPr>
          <w:rFonts w:eastAsia="Times New Roman"/>
        </w:rPr>
        <w:t xml:space="preserve">2007 </w:t>
      </w:r>
      <w:r>
        <w:rPr>
          <w:rFonts w:eastAsia="Times New Roman"/>
        </w:rPr>
        <w:t xml:space="preserve">- </w:t>
      </w:r>
      <w:r w:rsidR="00467E85">
        <w:rPr>
          <w:rFonts w:eastAsia="Times New Roman"/>
        </w:rPr>
        <w:t xml:space="preserve">2011 </w:t>
      </w:r>
      <w:r>
        <w:rPr>
          <w:rFonts w:eastAsia="Times New Roman"/>
        </w:rPr>
        <w:t>ACS 5-year estimates.)</w:t>
      </w:r>
    </w:p>
    <w:p w:rsidR="00E908FA" w:rsidRPr="009763FF" w:rsidRDefault="00E908FA" w:rsidP="00E908FA">
      <w:pPr>
        <w:autoSpaceDE w:val="0"/>
        <w:autoSpaceDN w:val="0"/>
        <w:adjustRightInd w:val="0"/>
        <w:spacing w:after="240"/>
        <w:rPr>
          <w:rFonts w:eastAsia="Times New Roman"/>
        </w:rPr>
      </w:pPr>
      <w:r w:rsidRPr="009763FF">
        <w:rPr>
          <w:rFonts w:eastAsia="Times New Roman"/>
        </w:rPr>
        <w:t xml:space="preserve">For SFY </w:t>
      </w:r>
      <w:r w:rsidR="00467E85" w:rsidRPr="009763FF">
        <w:rPr>
          <w:rFonts w:eastAsia="Times New Roman"/>
        </w:rPr>
        <w:t>201</w:t>
      </w:r>
      <w:r w:rsidR="00467E85">
        <w:rPr>
          <w:rFonts w:eastAsia="Times New Roman"/>
        </w:rPr>
        <w:t>9</w:t>
      </w:r>
      <w:r>
        <w:rPr>
          <w:rFonts w:eastAsia="Times New Roman"/>
        </w:rPr>
        <w:t>,</w:t>
      </w:r>
      <w:r w:rsidRPr="009763FF">
        <w:rPr>
          <w:rFonts w:eastAsia="Times New Roman"/>
        </w:rPr>
        <w:t xml:space="preserve"> use the </w:t>
      </w:r>
      <w:r w:rsidR="00467E85" w:rsidRPr="009763FF">
        <w:rPr>
          <w:rFonts w:eastAsia="Times New Roman"/>
        </w:rPr>
        <w:t>201</w:t>
      </w:r>
      <w:r w:rsidR="00467E85">
        <w:rPr>
          <w:rFonts w:eastAsia="Times New Roman"/>
        </w:rPr>
        <w:t>2</w:t>
      </w:r>
      <w:r w:rsidR="00467E85" w:rsidRPr="009763FF">
        <w:rPr>
          <w:rFonts w:eastAsia="Times New Roman"/>
        </w:rPr>
        <w:t xml:space="preserve"> </w:t>
      </w:r>
      <w:r>
        <w:rPr>
          <w:rFonts w:eastAsia="Times New Roman"/>
        </w:rPr>
        <w:t xml:space="preserve">- </w:t>
      </w:r>
      <w:r w:rsidR="00467E85" w:rsidRPr="009763FF">
        <w:rPr>
          <w:rFonts w:eastAsia="Times New Roman"/>
        </w:rPr>
        <w:t>201</w:t>
      </w:r>
      <w:r w:rsidR="00467E85">
        <w:rPr>
          <w:rFonts w:eastAsia="Times New Roman"/>
        </w:rPr>
        <w:t>6</w:t>
      </w:r>
      <w:r w:rsidR="00467E85" w:rsidRPr="009763FF">
        <w:rPr>
          <w:rFonts w:eastAsia="Times New Roman"/>
        </w:rPr>
        <w:t xml:space="preserve"> </w:t>
      </w:r>
      <w:r>
        <w:rPr>
          <w:rFonts w:eastAsia="Times New Roman"/>
        </w:rPr>
        <w:t xml:space="preserve">ACS </w:t>
      </w:r>
      <w:r w:rsidRPr="009763FF">
        <w:rPr>
          <w:rFonts w:eastAsia="Times New Roman"/>
        </w:rPr>
        <w:t>5-year estimate</w:t>
      </w:r>
      <w:r>
        <w:rPr>
          <w:rFonts w:eastAsia="Times New Roman"/>
        </w:rPr>
        <w:t>s</w:t>
      </w:r>
      <w:r w:rsidRPr="009763FF">
        <w:rPr>
          <w:rFonts w:eastAsia="Times New Roman"/>
        </w:rPr>
        <w:t xml:space="preserve"> (and for the </w:t>
      </w:r>
      <w:r>
        <w:rPr>
          <w:rFonts w:eastAsia="Times New Roman"/>
        </w:rPr>
        <w:t xml:space="preserve">calculating </w:t>
      </w:r>
      <w:r w:rsidRPr="009763FF">
        <w:rPr>
          <w:rFonts w:eastAsia="Times New Roman"/>
        </w:rPr>
        <w:t xml:space="preserve">population adjustment for the Household Cost Factor, compare it to the population found in the </w:t>
      </w:r>
      <w:r w:rsidR="00467E85" w:rsidRPr="009763FF">
        <w:rPr>
          <w:rFonts w:eastAsia="Times New Roman"/>
        </w:rPr>
        <w:t>200</w:t>
      </w:r>
      <w:r w:rsidR="00467E85">
        <w:rPr>
          <w:rFonts w:eastAsia="Times New Roman"/>
        </w:rPr>
        <w:t>8</w:t>
      </w:r>
      <w:r w:rsidR="00467E85" w:rsidRPr="009763FF">
        <w:rPr>
          <w:rFonts w:eastAsia="Times New Roman"/>
        </w:rPr>
        <w:t xml:space="preserve"> </w:t>
      </w:r>
      <w:r>
        <w:rPr>
          <w:rFonts w:eastAsia="Times New Roman"/>
        </w:rPr>
        <w:t>-</w:t>
      </w:r>
      <w:r w:rsidRPr="009763FF">
        <w:rPr>
          <w:rFonts w:eastAsia="Times New Roman"/>
        </w:rPr>
        <w:t xml:space="preserve"> </w:t>
      </w:r>
      <w:r w:rsidR="00467E85" w:rsidRPr="009763FF">
        <w:rPr>
          <w:rFonts w:eastAsia="Times New Roman"/>
        </w:rPr>
        <w:t>201</w:t>
      </w:r>
      <w:r w:rsidR="00467E85">
        <w:rPr>
          <w:rFonts w:eastAsia="Times New Roman"/>
        </w:rPr>
        <w:t>2</w:t>
      </w:r>
      <w:r w:rsidR="00467E85" w:rsidRPr="009763FF">
        <w:rPr>
          <w:rFonts w:eastAsia="Times New Roman"/>
        </w:rPr>
        <w:t xml:space="preserve"> </w:t>
      </w:r>
      <w:r>
        <w:rPr>
          <w:rFonts w:eastAsia="Times New Roman"/>
        </w:rPr>
        <w:t xml:space="preserve">ACS </w:t>
      </w:r>
      <w:r w:rsidRPr="009763FF">
        <w:rPr>
          <w:rFonts w:eastAsia="Times New Roman"/>
        </w:rPr>
        <w:t>5-year estimate</w:t>
      </w:r>
      <w:r>
        <w:rPr>
          <w:rFonts w:eastAsia="Times New Roman"/>
        </w:rPr>
        <w:t>s</w:t>
      </w:r>
      <w:r w:rsidRPr="009763FF">
        <w:rPr>
          <w:rFonts w:eastAsia="Times New Roman"/>
        </w:rPr>
        <w:t>.</w:t>
      </w:r>
      <w:r>
        <w:rPr>
          <w:rFonts w:eastAsia="Times New Roman"/>
        </w:rPr>
        <w:t>)</w:t>
      </w:r>
    </w:p>
    <w:p w:rsidR="00F57131" w:rsidRDefault="00F57131" w:rsidP="00F83605">
      <w:pPr>
        <w:autoSpaceDE w:val="0"/>
        <w:autoSpaceDN w:val="0"/>
        <w:adjustRightInd w:val="0"/>
        <w:spacing w:after="120"/>
        <w:ind w:right="418"/>
        <w:rPr>
          <w:rFonts w:eastAsia="Times New Roman"/>
          <w:b/>
          <w:sz w:val="32"/>
          <w:szCs w:val="32"/>
          <w:u w:val="single"/>
        </w:rPr>
      </w:pPr>
      <w:r>
        <w:rPr>
          <w:rFonts w:eastAsia="Times New Roman"/>
          <w:b/>
          <w:sz w:val="32"/>
          <w:szCs w:val="32"/>
          <w:u w:val="single"/>
        </w:rPr>
        <w:t>Urgent Need</w:t>
      </w:r>
    </w:p>
    <w:p w:rsidR="00F57131" w:rsidRDefault="00F57131" w:rsidP="00DF0CEA">
      <w:pPr>
        <w:autoSpaceDE w:val="0"/>
        <w:autoSpaceDN w:val="0"/>
        <w:adjustRightInd w:val="0"/>
        <w:spacing w:after="240"/>
        <w:ind w:right="418"/>
        <w:rPr>
          <w:rFonts w:eastAsia="Times New Roman"/>
          <w:b/>
          <w:sz w:val="32"/>
          <w:szCs w:val="32"/>
          <w:u w:val="single"/>
        </w:rPr>
      </w:pPr>
      <w:r>
        <w:t>Urgent Need</w:t>
      </w:r>
      <w:r w:rsidRPr="00974DDA">
        <w:t xml:space="preserve"> projects must address situations that require immediate attention to p</w:t>
      </w:r>
      <w:r>
        <w:t xml:space="preserve">rotect public health and safety. </w:t>
      </w:r>
      <w:r w:rsidR="009733F5">
        <w:t>For SFY 2019, we anticipate e</w:t>
      </w:r>
      <w:r w:rsidRPr="00415B42">
        <w:t>ntities may be eligible to receive up to a total of $</w:t>
      </w:r>
      <w:r w:rsidR="00467E85">
        <w:t>800</w:t>
      </w:r>
      <w:r w:rsidRPr="00415B42">
        <w:t>,000 per project</w:t>
      </w:r>
      <w:r w:rsidR="00467E85">
        <w:t xml:space="preserve"> in principal forgiveness, based on their eligibility for disadvantage</w:t>
      </w:r>
      <w:r w:rsidR="009733F5">
        <w:t>d community’s</w:t>
      </w:r>
      <w:r w:rsidR="00467E85">
        <w:t xml:space="preserve"> funds</w:t>
      </w:r>
      <w:r w:rsidRPr="00415B42">
        <w:t xml:space="preserve">. </w:t>
      </w:r>
      <w:r w:rsidR="00486BDE">
        <w:t xml:space="preserve">If project costs exceed the amount offered in principal forgiveness, the remainder of costs may be eligible for </w:t>
      </w:r>
      <w:r w:rsidR="009733F5">
        <w:t>a loan with an interest rate of zero percent (provided this limited funding remains available).</w:t>
      </w:r>
    </w:p>
    <w:p w:rsidR="00F57131" w:rsidRDefault="00F57131" w:rsidP="00F83605">
      <w:pPr>
        <w:autoSpaceDE w:val="0"/>
        <w:autoSpaceDN w:val="0"/>
        <w:adjustRightInd w:val="0"/>
        <w:spacing w:after="120"/>
        <w:ind w:right="418"/>
        <w:rPr>
          <w:rFonts w:eastAsia="Times New Roman"/>
          <w:b/>
          <w:sz w:val="32"/>
          <w:szCs w:val="32"/>
          <w:u w:val="single"/>
        </w:rPr>
      </w:pPr>
      <w:r>
        <w:rPr>
          <w:rFonts w:eastAsia="Times New Roman"/>
          <w:b/>
          <w:sz w:val="32"/>
          <w:szCs w:val="32"/>
          <w:u w:val="single"/>
        </w:rPr>
        <w:t>Multi-Year Commitments</w:t>
      </w:r>
    </w:p>
    <w:p w:rsidR="00F57131" w:rsidRDefault="00486BDE" w:rsidP="00DF0CEA">
      <w:pPr>
        <w:autoSpaceDE w:val="0"/>
        <w:autoSpaceDN w:val="0"/>
        <w:adjustRightInd w:val="0"/>
        <w:spacing w:after="240"/>
        <w:ind w:right="418"/>
        <w:rPr>
          <w:rFonts w:eastAsia="Times New Roman"/>
          <w:b/>
          <w:sz w:val="32"/>
          <w:szCs w:val="32"/>
          <w:u w:val="single"/>
        </w:rPr>
      </w:pPr>
      <w:r>
        <w:rPr>
          <w:rFonts w:cs="Arial"/>
        </w:rPr>
        <w:t>The</w:t>
      </w:r>
      <w:r w:rsidR="00F57131" w:rsidRPr="00B55435">
        <w:rPr>
          <w:rFonts w:cs="Arial"/>
        </w:rPr>
        <w:t xml:space="preserve"> </w:t>
      </w:r>
      <w:r w:rsidR="00F57131">
        <w:rPr>
          <w:rFonts w:cs="Arial"/>
        </w:rPr>
        <w:t>D</w:t>
      </w:r>
      <w:r w:rsidR="00F57131" w:rsidRPr="00B55435">
        <w:rPr>
          <w:rFonts w:cs="Arial"/>
        </w:rPr>
        <w:t xml:space="preserve">WSRF will </w:t>
      </w:r>
      <w:r w:rsidR="00F57131">
        <w:rPr>
          <w:rFonts w:cs="Arial"/>
        </w:rPr>
        <w:t xml:space="preserve">offer </w:t>
      </w:r>
      <w:r w:rsidR="00F57131" w:rsidRPr="00B55435">
        <w:rPr>
          <w:rFonts w:cs="Arial"/>
        </w:rPr>
        <w:t xml:space="preserve">multi-year commitments </w:t>
      </w:r>
      <w:r w:rsidR="00F57131">
        <w:rPr>
          <w:rFonts w:cs="Arial"/>
        </w:rPr>
        <w:t xml:space="preserve">up to five years </w:t>
      </w:r>
      <w:r w:rsidR="00F57131" w:rsidRPr="00B55435">
        <w:rPr>
          <w:rFonts w:cs="Arial"/>
        </w:rPr>
        <w:t>to assist entities that need to fund p</w:t>
      </w:r>
      <w:r w:rsidR="00F57131">
        <w:rPr>
          <w:rFonts w:cs="Arial"/>
        </w:rPr>
        <w:t>rojects over a</w:t>
      </w:r>
      <w:r w:rsidR="004F5EDE">
        <w:rPr>
          <w:rFonts w:cs="Arial"/>
        </w:rPr>
        <w:t>n extended</w:t>
      </w:r>
      <w:r w:rsidR="00F57131">
        <w:rPr>
          <w:rFonts w:cs="Arial"/>
        </w:rPr>
        <w:t xml:space="preserve"> period of time. </w:t>
      </w:r>
      <w:r w:rsidR="00F57131" w:rsidRPr="00B55435">
        <w:rPr>
          <w:rFonts w:cs="Arial"/>
        </w:rPr>
        <w:t xml:space="preserve">To </w:t>
      </w:r>
      <w:r w:rsidR="00F57131">
        <w:rPr>
          <w:rFonts w:cs="Arial"/>
        </w:rPr>
        <w:t xml:space="preserve">assist in </w:t>
      </w:r>
      <w:r w:rsidR="00F57131" w:rsidRPr="00B55435">
        <w:rPr>
          <w:rFonts w:cs="Arial"/>
        </w:rPr>
        <w:t>provid</w:t>
      </w:r>
      <w:r w:rsidR="00F57131">
        <w:rPr>
          <w:rFonts w:cs="Arial"/>
        </w:rPr>
        <w:t>ing</w:t>
      </w:r>
      <w:r w:rsidR="00F57131" w:rsidRPr="00B55435">
        <w:rPr>
          <w:rFonts w:cs="Arial"/>
        </w:rPr>
        <w:t xml:space="preserve"> for long-term financial planning, the </w:t>
      </w:r>
      <w:r w:rsidR="00F57131">
        <w:rPr>
          <w:rFonts w:cs="Arial"/>
        </w:rPr>
        <w:t xml:space="preserve">minimum </w:t>
      </w:r>
      <w:r w:rsidR="00F57131" w:rsidRPr="00B55435">
        <w:rPr>
          <w:rFonts w:cs="Arial"/>
        </w:rPr>
        <w:t xml:space="preserve">interest rate reduction for the multi-year commitments will be established and locked for </w:t>
      </w:r>
      <w:r w:rsidR="00F57131">
        <w:rPr>
          <w:rFonts w:cs="Arial"/>
        </w:rPr>
        <w:t xml:space="preserve">the </w:t>
      </w:r>
      <w:r w:rsidR="00F57131" w:rsidRPr="00B55435">
        <w:rPr>
          <w:rFonts w:cs="Arial"/>
        </w:rPr>
        <w:t>five</w:t>
      </w:r>
      <w:r w:rsidR="00F57131">
        <w:rPr>
          <w:rFonts w:cs="Arial"/>
        </w:rPr>
        <w:t>-</w:t>
      </w:r>
      <w:r w:rsidR="00F57131" w:rsidRPr="00B55435">
        <w:rPr>
          <w:rFonts w:cs="Arial"/>
        </w:rPr>
        <w:t>year</w:t>
      </w:r>
      <w:r w:rsidR="00F57131">
        <w:rPr>
          <w:rFonts w:cs="Arial"/>
        </w:rPr>
        <w:t xml:space="preserve"> period</w:t>
      </w:r>
      <w:r w:rsidR="00F57131" w:rsidRPr="00B55435">
        <w:rPr>
          <w:rFonts w:cs="Arial"/>
        </w:rPr>
        <w:t xml:space="preserve"> based on the interest rate reduction in the IUP for the first year’s commitment.</w:t>
      </w:r>
      <w:r w:rsidR="00E908FA">
        <w:rPr>
          <w:rFonts w:cs="Arial"/>
        </w:rPr>
        <w:t xml:space="preserve"> </w:t>
      </w:r>
      <w:r w:rsidR="00E908FA" w:rsidRPr="00FA158F">
        <w:t>This option is only available for projects that do not receive Additional Subsidization in the form of principal forgiveness as a Disadvantaged Community based on the affordability criteria.  However, the entity receiving a multi-year commitment may receive Additional Subsidization for the other eligible options, such as green subsidy, for the amount of funds committed for the initial year.</w:t>
      </w:r>
      <w:r w:rsidR="00E908FA">
        <w:t xml:space="preserve"> </w:t>
      </w:r>
    </w:p>
    <w:p w:rsidR="00E908FA" w:rsidRPr="004024F4" w:rsidRDefault="00E908FA" w:rsidP="00E908FA">
      <w:pPr>
        <w:spacing w:before="120" w:after="120"/>
        <w:rPr>
          <w:rFonts w:eastAsia="Times New Roman"/>
          <w:b/>
          <w:sz w:val="32"/>
          <w:szCs w:val="32"/>
          <w:u w:val="single"/>
        </w:rPr>
      </w:pPr>
      <w:r w:rsidRPr="004024F4">
        <w:rPr>
          <w:rFonts w:eastAsia="Times New Roman"/>
          <w:b/>
          <w:sz w:val="32"/>
          <w:szCs w:val="32"/>
          <w:u w:val="single"/>
        </w:rPr>
        <w:t>Readiness to Proceed</w:t>
      </w:r>
    </w:p>
    <w:p w:rsidR="00E908FA" w:rsidRPr="00AA7ED4" w:rsidRDefault="00E908FA" w:rsidP="00E908FA">
      <w:pPr>
        <w:spacing w:after="240"/>
      </w:pPr>
      <w:r w:rsidRPr="00AA7ED4">
        <w:t>The TWDB defines readiness to proceed to construction as projects having no significant permitting, land acquisition, social, contractual, environmental, engineering or financial issues that would keep the project from proceeding in a timely manner to construction.  Readiness to proceed will be used in determining which projects will receive an invitation and which project phases are eligible for funding during the fiscal year.</w:t>
      </w:r>
    </w:p>
    <w:p w:rsidR="00E908FA" w:rsidRDefault="00E908FA" w:rsidP="00F83605">
      <w:pPr>
        <w:autoSpaceDE w:val="0"/>
        <w:autoSpaceDN w:val="0"/>
        <w:adjustRightInd w:val="0"/>
        <w:spacing w:after="120"/>
        <w:ind w:right="418"/>
        <w:rPr>
          <w:rFonts w:eastAsia="Times New Roman"/>
          <w:b/>
          <w:sz w:val="32"/>
          <w:szCs w:val="32"/>
          <w:u w:val="single"/>
        </w:rPr>
      </w:pPr>
    </w:p>
    <w:p w:rsidR="00E908FA" w:rsidRDefault="00E908FA" w:rsidP="00F83605">
      <w:pPr>
        <w:autoSpaceDE w:val="0"/>
        <w:autoSpaceDN w:val="0"/>
        <w:adjustRightInd w:val="0"/>
        <w:spacing w:after="120"/>
        <w:ind w:right="418"/>
        <w:rPr>
          <w:rFonts w:eastAsia="Times New Roman"/>
          <w:b/>
          <w:sz w:val="32"/>
          <w:szCs w:val="32"/>
          <w:u w:val="single"/>
        </w:rPr>
      </w:pPr>
    </w:p>
    <w:p w:rsidR="00E908FA" w:rsidRDefault="00E908FA" w:rsidP="00F83605">
      <w:pPr>
        <w:autoSpaceDE w:val="0"/>
        <w:autoSpaceDN w:val="0"/>
        <w:adjustRightInd w:val="0"/>
        <w:spacing w:after="120"/>
        <w:ind w:right="418"/>
        <w:rPr>
          <w:rFonts w:eastAsia="Times New Roman"/>
          <w:b/>
          <w:sz w:val="32"/>
          <w:szCs w:val="32"/>
          <w:u w:val="single"/>
        </w:rPr>
      </w:pPr>
    </w:p>
    <w:p w:rsidR="004024F4" w:rsidRDefault="00F83605" w:rsidP="00F83605">
      <w:pPr>
        <w:autoSpaceDE w:val="0"/>
        <w:autoSpaceDN w:val="0"/>
        <w:adjustRightInd w:val="0"/>
        <w:spacing w:after="120"/>
        <w:ind w:right="418"/>
        <w:rPr>
          <w:rFonts w:eastAsia="Times New Roman"/>
          <w:b/>
          <w:sz w:val="32"/>
          <w:szCs w:val="32"/>
          <w:u w:val="single"/>
        </w:rPr>
      </w:pPr>
      <w:r>
        <w:rPr>
          <w:rFonts w:eastAsia="Times New Roman"/>
          <w:b/>
          <w:sz w:val="32"/>
          <w:szCs w:val="32"/>
          <w:u w:val="single"/>
        </w:rPr>
        <w:t>Cost Categories</w:t>
      </w:r>
    </w:p>
    <w:p w:rsidR="00F83605" w:rsidRDefault="00F83605" w:rsidP="00F83605">
      <w:pPr>
        <w:autoSpaceDE w:val="0"/>
        <w:autoSpaceDN w:val="0"/>
        <w:adjustRightInd w:val="0"/>
        <w:spacing w:after="120"/>
        <w:ind w:right="418"/>
        <w:rPr>
          <w:rFonts w:eastAsia="Times New Roman"/>
        </w:rPr>
      </w:pPr>
      <w:r>
        <w:rPr>
          <w:rFonts w:eastAsia="Times New Roman"/>
        </w:rPr>
        <w:t>Cost categories are associated with Section 4 of the Project Information Form. A description of each cost category is below:</w:t>
      </w:r>
    </w:p>
    <w:p w:rsidR="00F83605" w:rsidRPr="00091E9E" w:rsidRDefault="00F83605" w:rsidP="00F83605">
      <w:pPr>
        <w:spacing w:after="120"/>
        <w:rPr>
          <w:rFonts w:eastAsia="Times New Roman"/>
          <w:bCs/>
          <w:szCs w:val="20"/>
        </w:rPr>
      </w:pPr>
      <w:r w:rsidRPr="00F83605">
        <w:rPr>
          <w:rFonts w:eastAsia="Times New Roman"/>
          <w:b/>
          <w:bCs/>
          <w:szCs w:val="20"/>
          <w:u w:val="single"/>
        </w:rPr>
        <w:t>A</w:t>
      </w:r>
      <w:r>
        <w:rPr>
          <w:rFonts w:eastAsia="Times New Roman"/>
          <w:b/>
          <w:bCs/>
          <w:szCs w:val="20"/>
        </w:rPr>
        <w:t xml:space="preserve"> - </w:t>
      </w:r>
      <w:r w:rsidRPr="00F83605">
        <w:rPr>
          <w:rFonts w:eastAsia="Times New Roman"/>
          <w:b/>
          <w:bCs/>
          <w:i/>
          <w:szCs w:val="20"/>
        </w:rPr>
        <w:t>Treatment</w:t>
      </w:r>
      <w:r>
        <w:rPr>
          <w:rFonts w:eastAsia="Times New Roman"/>
          <w:bCs/>
          <w:szCs w:val="20"/>
        </w:rPr>
        <w:t xml:space="preserve"> - </w:t>
      </w:r>
      <w:r w:rsidRPr="00AA7ED4">
        <w:rPr>
          <w:rFonts w:eastAsia="Times New Roman"/>
          <w:szCs w:val="20"/>
        </w:rPr>
        <w:t>Includes any of the following:  disinfection, filtration, treatment waste handling, and any other treatment (i.e., GAC, aeration, iron/manganese removal, chemical storage tanks, and sedimentation).</w:t>
      </w:r>
    </w:p>
    <w:p w:rsidR="00F83605" w:rsidRPr="00091E9E" w:rsidRDefault="00F83605" w:rsidP="00F83605">
      <w:pPr>
        <w:spacing w:after="120"/>
        <w:rPr>
          <w:rFonts w:eastAsia="Times New Roman"/>
          <w:bCs/>
          <w:szCs w:val="20"/>
        </w:rPr>
      </w:pPr>
      <w:r w:rsidRPr="00F83605">
        <w:rPr>
          <w:rFonts w:eastAsia="Times New Roman"/>
          <w:b/>
          <w:bCs/>
          <w:szCs w:val="20"/>
          <w:u w:val="single"/>
        </w:rPr>
        <w:t>B</w:t>
      </w:r>
      <w:r>
        <w:rPr>
          <w:rFonts w:eastAsia="Times New Roman"/>
          <w:b/>
          <w:bCs/>
          <w:szCs w:val="20"/>
        </w:rPr>
        <w:t xml:space="preserve"> - </w:t>
      </w:r>
      <w:r w:rsidRPr="00F83605">
        <w:rPr>
          <w:rFonts w:eastAsia="Times New Roman"/>
          <w:b/>
          <w:bCs/>
          <w:i/>
          <w:szCs w:val="20"/>
        </w:rPr>
        <w:t>Transmission and Distribution</w:t>
      </w:r>
      <w:r>
        <w:rPr>
          <w:rFonts w:eastAsia="Times New Roman"/>
          <w:bCs/>
          <w:szCs w:val="20"/>
        </w:rPr>
        <w:t xml:space="preserve"> - </w:t>
      </w:r>
      <w:r w:rsidRPr="00AA7ED4">
        <w:rPr>
          <w:rFonts w:eastAsia="Times New Roman"/>
          <w:szCs w:val="20"/>
        </w:rPr>
        <w:t>Includes raw and finished water transmission, distribution lines, valves, back flow prevention, water meters, and/or pumping stations.</w:t>
      </w:r>
    </w:p>
    <w:p w:rsidR="00F83605" w:rsidRDefault="00F83605" w:rsidP="00F83605">
      <w:pPr>
        <w:spacing w:after="120"/>
        <w:rPr>
          <w:rFonts w:eastAsia="Times New Roman"/>
          <w:szCs w:val="20"/>
        </w:rPr>
      </w:pPr>
      <w:r w:rsidRPr="00F83605">
        <w:rPr>
          <w:rFonts w:eastAsia="Times New Roman"/>
          <w:b/>
          <w:bCs/>
          <w:szCs w:val="20"/>
          <w:u w:val="single"/>
        </w:rPr>
        <w:t>C</w:t>
      </w:r>
      <w:r>
        <w:rPr>
          <w:rFonts w:eastAsia="Times New Roman"/>
          <w:b/>
          <w:bCs/>
          <w:szCs w:val="20"/>
        </w:rPr>
        <w:t xml:space="preserve"> - </w:t>
      </w:r>
      <w:r w:rsidRPr="00F83605">
        <w:rPr>
          <w:rFonts w:eastAsia="Times New Roman"/>
          <w:b/>
          <w:bCs/>
          <w:i/>
          <w:szCs w:val="20"/>
        </w:rPr>
        <w:t>Source</w:t>
      </w:r>
      <w:r>
        <w:rPr>
          <w:rFonts w:eastAsia="Times New Roman"/>
          <w:bCs/>
          <w:szCs w:val="20"/>
        </w:rPr>
        <w:t xml:space="preserve"> - </w:t>
      </w:r>
      <w:r w:rsidRPr="00AA7ED4">
        <w:rPr>
          <w:rFonts w:eastAsia="Times New Roman"/>
          <w:szCs w:val="20"/>
        </w:rPr>
        <w:t>Includes wells, wellhead pumps, and surface water intakes.</w:t>
      </w:r>
    </w:p>
    <w:p w:rsidR="00F83605" w:rsidRDefault="00F83605" w:rsidP="00F83605">
      <w:pPr>
        <w:spacing w:after="120"/>
        <w:rPr>
          <w:rFonts w:eastAsia="Times New Roman"/>
          <w:szCs w:val="20"/>
        </w:rPr>
      </w:pPr>
      <w:r w:rsidRPr="00F83605">
        <w:rPr>
          <w:rFonts w:eastAsia="Times New Roman"/>
          <w:b/>
          <w:bCs/>
          <w:szCs w:val="20"/>
          <w:u w:val="single"/>
        </w:rPr>
        <w:t>D</w:t>
      </w:r>
      <w:r>
        <w:rPr>
          <w:rFonts w:eastAsia="Times New Roman"/>
          <w:b/>
          <w:bCs/>
          <w:szCs w:val="20"/>
        </w:rPr>
        <w:t xml:space="preserve"> – </w:t>
      </w:r>
      <w:r w:rsidRPr="00F83605">
        <w:rPr>
          <w:rFonts w:eastAsia="Times New Roman"/>
          <w:b/>
          <w:bCs/>
          <w:i/>
          <w:szCs w:val="20"/>
        </w:rPr>
        <w:t>Storage</w:t>
      </w:r>
      <w:r>
        <w:rPr>
          <w:rFonts w:eastAsia="Times New Roman"/>
          <w:bCs/>
          <w:szCs w:val="20"/>
        </w:rPr>
        <w:t xml:space="preserve"> - </w:t>
      </w:r>
      <w:r w:rsidRPr="00AA7ED4">
        <w:rPr>
          <w:rFonts w:eastAsia="Times New Roman"/>
          <w:szCs w:val="20"/>
        </w:rPr>
        <w:t>Includes elevated, ground, and pressure tanks for finished/treated water.</w:t>
      </w:r>
    </w:p>
    <w:p w:rsidR="00F83605" w:rsidRDefault="00F83605" w:rsidP="00F83605">
      <w:pPr>
        <w:spacing w:after="120"/>
        <w:rPr>
          <w:rFonts w:eastAsia="Times New Roman"/>
          <w:szCs w:val="20"/>
        </w:rPr>
      </w:pPr>
      <w:r w:rsidRPr="00F83605">
        <w:rPr>
          <w:rFonts w:eastAsia="Times New Roman"/>
          <w:b/>
          <w:szCs w:val="20"/>
          <w:u w:val="single"/>
        </w:rPr>
        <w:t>E</w:t>
      </w:r>
      <w:r w:rsidRPr="00F83605">
        <w:rPr>
          <w:rFonts w:eastAsia="Times New Roman"/>
          <w:b/>
          <w:szCs w:val="20"/>
        </w:rPr>
        <w:t xml:space="preserve"> -</w:t>
      </w:r>
      <w:r w:rsidRPr="00F83605">
        <w:rPr>
          <w:rFonts w:eastAsia="Times New Roman"/>
          <w:b/>
          <w:i/>
          <w:szCs w:val="20"/>
        </w:rPr>
        <w:t xml:space="preserve"> </w:t>
      </w:r>
      <w:r w:rsidRPr="00F83605">
        <w:rPr>
          <w:rFonts w:eastAsia="Times New Roman"/>
          <w:b/>
          <w:bCs/>
          <w:i/>
          <w:szCs w:val="20"/>
        </w:rPr>
        <w:t>Purchase of Systems</w:t>
      </w:r>
      <w:r>
        <w:rPr>
          <w:rFonts w:eastAsia="Times New Roman"/>
          <w:bCs/>
          <w:szCs w:val="20"/>
        </w:rPr>
        <w:t xml:space="preserve"> -</w:t>
      </w:r>
      <w:r w:rsidRPr="00AA7ED4">
        <w:rPr>
          <w:rFonts w:eastAsia="Times New Roman"/>
          <w:szCs w:val="20"/>
        </w:rPr>
        <w:t>Includes all of the eligible costs funded by the DWSRF to purchase systems (e.g., as part of a consolidation/regionalization project).</w:t>
      </w:r>
    </w:p>
    <w:p w:rsidR="00F83605" w:rsidRDefault="00F83605" w:rsidP="00F83605">
      <w:pPr>
        <w:spacing w:after="120"/>
        <w:rPr>
          <w:rFonts w:eastAsia="Times New Roman"/>
          <w:szCs w:val="20"/>
        </w:rPr>
      </w:pPr>
      <w:r w:rsidRPr="00F83605">
        <w:rPr>
          <w:rFonts w:eastAsia="Times New Roman"/>
          <w:b/>
          <w:bCs/>
          <w:szCs w:val="20"/>
          <w:u w:val="single"/>
        </w:rPr>
        <w:t>F</w:t>
      </w:r>
      <w:r>
        <w:rPr>
          <w:rFonts w:eastAsia="Times New Roman"/>
          <w:b/>
          <w:bCs/>
          <w:szCs w:val="20"/>
        </w:rPr>
        <w:t xml:space="preserve"> - </w:t>
      </w:r>
      <w:r w:rsidRPr="00F83605">
        <w:rPr>
          <w:rFonts w:eastAsia="Times New Roman"/>
          <w:b/>
          <w:bCs/>
          <w:i/>
          <w:szCs w:val="20"/>
        </w:rPr>
        <w:t>Restructuring</w:t>
      </w:r>
      <w:r>
        <w:rPr>
          <w:rFonts w:eastAsia="Times New Roman"/>
          <w:bCs/>
          <w:szCs w:val="20"/>
        </w:rPr>
        <w:t xml:space="preserve"> - </w:t>
      </w:r>
      <w:r w:rsidRPr="00AA7ED4">
        <w:rPr>
          <w:rFonts w:eastAsia="Times New Roman"/>
          <w:szCs w:val="20"/>
        </w:rPr>
        <w:t>Includes costs associated with changes in organizational structure, management, accounting, rates, or other procedures conducted to meet financial, managerial, and technical requirements.</w:t>
      </w:r>
    </w:p>
    <w:p w:rsidR="00F83605" w:rsidRDefault="00F83605" w:rsidP="00F83605">
      <w:pPr>
        <w:spacing w:after="120"/>
        <w:rPr>
          <w:rFonts w:eastAsia="Times New Roman"/>
          <w:szCs w:val="20"/>
        </w:rPr>
      </w:pPr>
      <w:r w:rsidRPr="00F83605">
        <w:rPr>
          <w:rFonts w:eastAsia="Times New Roman"/>
          <w:b/>
          <w:bCs/>
          <w:szCs w:val="20"/>
          <w:u w:val="single"/>
        </w:rPr>
        <w:t>G</w:t>
      </w:r>
      <w:r>
        <w:rPr>
          <w:rFonts w:eastAsia="Times New Roman"/>
          <w:b/>
          <w:bCs/>
          <w:szCs w:val="20"/>
        </w:rPr>
        <w:t xml:space="preserve"> - </w:t>
      </w:r>
      <w:r w:rsidRPr="00F83605">
        <w:rPr>
          <w:rFonts w:eastAsia="Times New Roman"/>
          <w:b/>
          <w:bCs/>
          <w:i/>
          <w:szCs w:val="20"/>
        </w:rPr>
        <w:t>Land Acquisition</w:t>
      </w:r>
      <w:r>
        <w:rPr>
          <w:rFonts w:eastAsia="Times New Roman"/>
          <w:bCs/>
          <w:szCs w:val="20"/>
        </w:rPr>
        <w:t xml:space="preserve"> - </w:t>
      </w:r>
      <w:r w:rsidRPr="00AA7ED4">
        <w:rPr>
          <w:rFonts w:eastAsia="Times New Roman"/>
          <w:szCs w:val="20"/>
        </w:rPr>
        <w:t>Includes eligible costs funded by the DWSRF to acquire land.</w:t>
      </w:r>
    </w:p>
    <w:p w:rsidR="00F83605" w:rsidRDefault="00F83605" w:rsidP="00F83605">
      <w:pPr>
        <w:spacing w:after="120"/>
        <w:rPr>
          <w:rFonts w:eastAsia="Times New Roman"/>
          <w:szCs w:val="20"/>
        </w:rPr>
      </w:pPr>
      <w:r w:rsidRPr="00F83605">
        <w:rPr>
          <w:rFonts w:eastAsia="Times New Roman"/>
          <w:b/>
          <w:bCs/>
          <w:szCs w:val="20"/>
          <w:u w:val="single"/>
        </w:rPr>
        <w:t>H</w:t>
      </w:r>
      <w:r>
        <w:rPr>
          <w:rFonts w:eastAsia="Times New Roman"/>
          <w:b/>
          <w:bCs/>
          <w:szCs w:val="20"/>
        </w:rPr>
        <w:t xml:space="preserve"> - </w:t>
      </w:r>
      <w:r w:rsidRPr="00F83605">
        <w:rPr>
          <w:rFonts w:eastAsia="Times New Roman"/>
          <w:b/>
          <w:bCs/>
          <w:i/>
          <w:szCs w:val="20"/>
        </w:rPr>
        <w:t>Source Water Protection</w:t>
      </w:r>
      <w:r>
        <w:rPr>
          <w:rFonts w:eastAsia="Times New Roman"/>
          <w:b/>
          <w:bCs/>
          <w:szCs w:val="20"/>
        </w:rPr>
        <w:t xml:space="preserve"> - </w:t>
      </w:r>
      <w:r w:rsidRPr="00AA7ED4">
        <w:rPr>
          <w:rFonts w:eastAsia="Times New Roman"/>
          <w:szCs w:val="20"/>
        </w:rPr>
        <w:t>Includes costs associated with implementing source water protection BMPs.</w:t>
      </w:r>
    </w:p>
    <w:p w:rsidR="00F83605" w:rsidRPr="00F83605" w:rsidRDefault="00F83605" w:rsidP="00F83605">
      <w:pPr>
        <w:autoSpaceDE w:val="0"/>
        <w:autoSpaceDN w:val="0"/>
        <w:adjustRightInd w:val="0"/>
        <w:spacing w:after="120"/>
        <w:ind w:right="418"/>
        <w:rPr>
          <w:rFonts w:eastAsia="Times New Roman"/>
        </w:rPr>
      </w:pPr>
      <w:r w:rsidRPr="00F83605">
        <w:rPr>
          <w:rFonts w:eastAsia="Times New Roman"/>
          <w:b/>
          <w:bCs/>
          <w:szCs w:val="20"/>
          <w:u w:val="single"/>
        </w:rPr>
        <w:t>I</w:t>
      </w:r>
      <w:r>
        <w:rPr>
          <w:rFonts w:eastAsia="Times New Roman"/>
          <w:b/>
          <w:bCs/>
          <w:szCs w:val="20"/>
        </w:rPr>
        <w:t xml:space="preserve"> - </w:t>
      </w:r>
      <w:r w:rsidRPr="00F83605">
        <w:rPr>
          <w:rFonts w:eastAsia="Times New Roman"/>
          <w:b/>
          <w:bCs/>
          <w:i/>
          <w:szCs w:val="20"/>
        </w:rPr>
        <w:t>Other</w:t>
      </w:r>
      <w:r>
        <w:rPr>
          <w:rFonts w:eastAsia="Times New Roman"/>
          <w:b/>
          <w:bCs/>
          <w:szCs w:val="20"/>
        </w:rPr>
        <w:t xml:space="preserve"> - </w:t>
      </w:r>
      <w:r w:rsidRPr="00AA7ED4">
        <w:rPr>
          <w:rFonts w:eastAsia="Times New Roman"/>
          <w:szCs w:val="20"/>
        </w:rPr>
        <w:t>Includes other costs that cannot be classified into Categories A-H above.</w:t>
      </w:r>
    </w:p>
    <w:p w:rsidR="0051218C" w:rsidRDefault="0051218C" w:rsidP="00F83605">
      <w:pPr>
        <w:autoSpaceDE w:val="0"/>
        <w:autoSpaceDN w:val="0"/>
        <w:adjustRightInd w:val="0"/>
        <w:spacing w:after="120"/>
        <w:ind w:right="418"/>
        <w:rPr>
          <w:rFonts w:eastAsia="Times New Roman"/>
          <w:b/>
          <w:sz w:val="32"/>
          <w:szCs w:val="32"/>
          <w:u w:val="single"/>
        </w:rPr>
      </w:pPr>
    </w:p>
    <w:p w:rsidR="00F83605" w:rsidRPr="00DB143C" w:rsidRDefault="00F83605" w:rsidP="00F83605">
      <w:pPr>
        <w:autoSpaceDE w:val="0"/>
        <w:autoSpaceDN w:val="0"/>
        <w:adjustRightInd w:val="0"/>
        <w:spacing w:after="120"/>
        <w:ind w:right="418"/>
        <w:rPr>
          <w:i/>
          <w:color w:val="000000"/>
        </w:rPr>
      </w:pPr>
      <w:r>
        <w:rPr>
          <w:rFonts w:eastAsia="Times New Roman"/>
          <w:b/>
          <w:sz w:val="32"/>
          <w:szCs w:val="32"/>
          <w:u w:val="single"/>
        </w:rPr>
        <w:t>DW</w:t>
      </w:r>
      <w:r w:rsidRPr="00AA7ED4">
        <w:rPr>
          <w:rFonts w:eastAsia="Times New Roman"/>
          <w:b/>
          <w:sz w:val="32"/>
          <w:szCs w:val="32"/>
          <w:u w:val="single"/>
        </w:rPr>
        <w:t>SRF Program Information</w:t>
      </w:r>
    </w:p>
    <w:p w:rsidR="004024F4" w:rsidRDefault="004024F4" w:rsidP="00F83605">
      <w:pPr>
        <w:autoSpaceDE w:val="0"/>
        <w:autoSpaceDN w:val="0"/>
        <w:adjustRightInd w:val="0"/>
        <w:spacing w:after="120"/>
        <w:ind w:left="43" w:right="-14"/>
        <w:rPr>
          <w:color w:val="0000FF"/>
        </w:rPr>
      </w:pPr>
      <w:r w:rsidRPr="00AA7ED4">
        <w:rPr>
          <w:rFonts w:eastAsia="Times New Roman"/>
          <w:color w:val="000000"/>
        </w:rPr>
        <w:t xml:space="preserve">While an overview of certain aspects of the DWSRF program is included in this guidance document, detailed information on the DWSRF may be found in the </w:t>
      </w:r>
      <w:r>
        <w:rPr>
          <w:rFonts w:eastAsia="Times New Roman"/>
          <w:color w:val="000000"/>
        </w:rPr>
        <w:t>most current</w:t>
      </w:r>
      <w:r w:rsidRPr="00AA7ED4">
        <w:rPr>
          <w:rFonts w:eastAsia="Times New Roman"/>
          <w:color w:val="000000"/>
        </w:rPr>
        <w:t xml:space="preserve"> Intended Use Plan.  You may access the Intended Use Plan on the </w:t>
      </w:r>
      <w:r w:rsidRPr="00AA7ED4">
        <w:rPr>
          <w:spacing w:val="1"/>
        </w:rPr>
        <w:t>T</w:t>
      </w:r>
      <w:r w:rsidRPr="00AA7ED4">
        <w:t>WDB w</w:t>
      </w:r>
      <w:r w:rsidRPr="00AA7ED4">
        <w:rPr>
          <w:spacing w:val="1"/>
        </w:rPr>
        <w:t>e</w:t>
      </w:r>
      <w:r w:rsidRPr="00AA7ED4">
        <w:rPr>
          <w:spacing w:val="-1"/>
        </w:rPr>
        <w:t>b</w:t>
      </w:r>
      <w:r w:rsidRPr="00AA7ED4">
        <w:t>s</w:t>
      </w:r>
      <w:r w:rsidRPr="00AA7ED4">
        <w:rPr>
          <w:spacing w:val="-1"/>
        </w:rPr>
        <w:t>it</w:t>
      </w:r>
      <w:r w:rsidRPr="00AA7ED4">
        <w:rPr>
          <w:spacing w:val="1"/>
        </w:rPr>
        <w:t>e at this location</w:t>
      </w:r>
      <w:r w:rsidRPr="00AA7ED4">
        <w:t xml:space="preserve">: </w:t>
      </w:r>
      <w:hyperlink r:id="rId15" w:history="1">
        <w:r w:rsidRPr="004B6975">
          <w:rPr>
            <w:color w:val="0000FF"/>
          </w:rPr>
          <w:t>www</w:t>
        </w:r>
        <w:r w:rsidRPr="004B6975">
          <w:rPr>
            <w:color w:val="0000FF"/>
            <w:spacing w:val="-1"/>
          </w:rPr>
          <w:t>.t</w:t>
        </w:r>
        <w:r w:rsidRPr="004B6975">
          <w:rPr>
            <w:color w:val="0000FF"/>
            <w:spacing w:val="3"/>
          </w:rPr>
          <w:t>w</w:t>
        </w:r>
        <w:r w:rsidRPr="004B6975">
          <w:rPr>
            <w:color w:val="0000FF"/>
            <w:spacing w:val="-1"/>
          </w:rPr>
          <w:t>d</w:t>
        </w:r>
        <w:r w:rsidRPr="004B6975">
          <w:rPr>
            <w:color w:val="0000FF"/>
            <w:spacing w:val="2"/>
          </w:rPr>
          <w:t>b</w:t>
        </w:r>
        <w:r w:rsidRPr="004B6975">
          <w:rPr>
            <w:color w:val="0000FF"/>
            <w:spacing w:val="-1"/>
          </w:rPr>
          <w:t>.t</w:t>
        </w:r>
        <w:r w:rsidRPr="004B6975">
          <w:rPr>
            <w:color w:val="0000FF"/>
            <w:spacing w:val="1"/>
          </w:rPr>
          <w:t>e</w:t>
        </w:r>
        <w:r w:rsidRPr="004B6975">
          <w:rPr>
            <w:color w:val="0000FF"/>
          </w:rPr>
          <w:t>xas</w:t>
        </w:r>
        <w:r w:rsidRPr="004B6975">
          <w:rPr>
            <w:color w:val="0000FF"/>
            <w:spacing w:val="-1"/>
          </w:rPr>
          <w:t>.g</w:t>
        </w:r>
        <w:r w:rsidRPr="004B6975">
          <w:rPr>
            <w:color w:val="0000FF"/>
            <w:spacing w:val="1"/>
          </w:rPr>
          <w:t>o</w:t>
        </w:r>
        <w:r w:rsidRPr="004B6975">
          <w:rPr>
            <w:color w:val="0000FF"/>
            <w:spacing w:val="2"/>
          </w:rPr>
          <w:t>v</w:t>
        </w:r>
        <w:r w:rsidRPr="004B6975">
          <w:rPr>
            <w:color w:val="0000FF"/>
            <w:spacing w:val="-1"/>
          </w:rPr>
          <w:t>/</w:t>
        </w:r>
        <w:r w:rsidRPr="004B6975">
          <w:rPr>
            <w:color w:val="0000FF"/>
          </w:rPr>
          <w:t>f</w:t>
        </w:r>
        <w:r w:rsidRPr="004B6975">
          <w:rPr>
            <w:color w:val="0000FF"/>
            <w:spacing w:val="1"/>
          </w:rPr>
          <w:t>i</w:t>
        </w:r>
        <w:r w:rsidRPr="004B6975">
          <w:rPr>
            <w:color w:val="0000FF"/>
            <w:spacing w:val="-1"/>
          </w:rPr>
          <w:t>n</w:t>
        </w:r>
        <w:r w:rsidRPr="004B6975">
          <w:rPr>
            <w:color w:val="0000FF"/>
          </w:rPr>
          <w:t>a</w:t>
        </w:r>
        <w:r w:rsidRPr="004B6975">
          <w:rPr>
            <w:color w:val="0000FF"/>
            <w:spacing w:val="-1"/>
          </w:rPr>
          <w:t>n</w:t>
        </w:r>
        <w:r w:rsidRPr="004B6975">
          <w:rPr>
            <w:color w:val="0000FF"/>
          </w:rPr>
          <w:t>c</w:t>
        </w:r>
        <w:r w:rsidRPr="004B6975">
          <w:rPr>
            <w:color w:val="0000FF"/>
            <w:spacing w:val="1"/>
          </w:rPr>
          <w:t>i</w:t>
        </w:r>
        <w:r w:rsidRPr="004B6975">
          <w:rPr>
            <w:color w:val="0000FF"/>
          </w:rPr>
          <w:t>a</w:t>
        </w:r>
        <w:r w:rsidRPr="004B6975">
          <w:rPr>
            <w:color w:val="0000FF"/>
            <w:spacing w:val="1"/>
          </w:rPr>
          <w:t>l</w:t>
        </w:r>
        <w:r w:rsidRPr="004B6975">
          <w:rPr>
            <w:color w:val="0000FF"/>
            <w:spacing w:val="-1"/>
          </w:rPr>
          <w:t>/p</w:t>
        </w:r>
        <w:r w:rsidRPr="004B6975">
          <w:rPr>
            <w:color w:val="0000FF"/>
            <w:spacing w:val="1"/>
          </w:rPr>
          <w:t>ro</w:t>
        </w:r>
        <w:r w:rsidRPr="004B6975">
          <w:rPr>
            <w:color w:val="0000FF"/>
            <w:spacing w:val="-1"/>
          </w:rPr>
          <w:t>g</w:t>
        </w:r>
        <w:r w:rsidRPr="004B6975">
          <w:rPr>
            <w:color w:val="0000FF"/>
            <w:spacing w:val="1"/>
          </w:rPr>
          <w:t>r</w:t>
        </w:r>
        <w:r w:rsidRPr="004B6975">
          <w:rPr>
            <w:color w:val="0000FF"/>
          </w:rPr>
          <w:t>a</w:t>
        </w:r>
        <w:r w:rsidRPr="004B6975">
          <w:rPr>
            <w:color w:val="0000FF"/>
            <w:spacing w:val="-1"/>
          </w:rPr>
          <w:t>m</w:t>
        </w:r>
        <w:r w:rsidRPr="004B6975">
          <w:rPr>
            <w:color w:val="0000FF"/>
          </w:rPr>
          <w:t>s</w:t>
        </w:r>
        <w:r w:rsidRPr="004B6975">
          <w:rPr>
            <w:color w:val="0000FF"/>
            <w:spacing w:val="-1"/>
          </w:rPr>
          <w:t>/d</w:t>
        </w:r>
        <w:r w:rsidRPr="004B6975">
          <w:rPr>
            <w:color w:val="0000FF"/>
          </w:rPr>
          <w:t>ws</w:t>
        </w:r>
        <w:r w:rsidRPr="004B6975">
          <w:rPr>
            <w:color w:val="0000FF"/>
            <w:spacing w:val="1"/>
          </w:rPr>
          <w:t>r</w:t>
        </w:r>
        <w:r w:rsidRPr="004B6975">
          <w:rPr>
            <w:color w:val="0000FF"/>
          </w:rPr>
          <w:t>f/</w:t>
        </w:r>
      </w:hyperlink>
    </w:p>
    <w:p w:rsidR="0051218C" w:rsidRPr="00E11C0C" w:rsidRDefault="0051218C" w:rsidP="00F83605">
      <w:pPr>
        <w:autoSpaceDE w:val="0"/>
        <w:autoSpaceDN w:val="0"/>
        <w:adjustRightInd w:val="0"/>
        <w:spacing w:after="120"/>
        <w:ind w:left="43" w:right="-14"/>
        <w:rPr>
          <w:color w:val="000000"/>
        </w:rPr>
      </w:pPr>
    </w:p>
    <w:p w:rsidR="004024F4" w:rsidRPr="00AA7ED4" w:rsidRDefault="004024F4" w:rsidP="00F83605">
      <w:pPr>
        <w:spacing w:after="120"/>
        <w:rPr>
          <w:b/>
          <w:sz w:val="32"/>
          <w:szCs w:val="32"/>
          <w:u w:val="single"/>
        </w:rPr>
      </w:pPr>
      <w:r w:rsidRPr="00AA7ED4">
        <w:rPr>
          <w:b/>
          <w:sz w:val="32"/>
          <w:szCs w:val="32"/>
          <w:u w:val="single"/>
        </w:rPr>
        <w:t>Contact Information:</w:t>
      </w:r>
    </w:p>
    <w:p w:rsidR="004024F4" w:rsidRPr="00AA7ED4" w:rsidRDefault="004024F4" w:rsidP="00F83605">
      <w:pPr>
        <w:spacing w:after="120"/>
        <w:rPr>
          <w:color w:val="0000FF"/>
          <w:u w:val="single"/>
        </w:rPr>
      </w:pPr>
      <w:r w:rsidRPr="00AA7ED4">
        <w:t xml:space="preserve">If you have any questions after reading this guidance, please contact </w:t>
      </w:r>
      <w:r w:rsidRPr="00AA7ED4">
        <w:rPr>
          <w:rFonts w:eastAsia="Times New Roman"/>
        </w:rPr>
        <w:t xml:space="preserve">DWSRF Program Coordinator, Matthew Schmidt, at 512-463-8321 or </w:t>
      </w:r>
      <w:hyperlink r:id="rId16" w:history="1">
        <w:r w:rsidRPr="004B6975">
          <w:rPr>
            <w:rStyle w:val="Hyperlink"/>
            <w:u w:val="none"/>
          </w:rPr>
          <w:t>matthew.schmidt@twdb.texas.gov</w:t>
        </w:r>
      </w:hyperlink>
    </w:p>
    <w:p w:rsidR="00F83605" w:rsidRDefault="00F83605" w:rsidP="00F83605">
      <w:pPr>
        <w:spacing w:before="120" w:after="120" w:line="300" w:lineRule="atLeast"/>
        <w:contextualSpacing/>
        <w:rPr>
          <w:rFonts w:eastAsia="Times New Roman"/>
        </w:rPr>
      </w:pPr>
    </w:p>
    <w:sectPr w:rsidR="00F83605" w:rsidSect="00DB143C">
      <w:headerReference w:type="default" r:id="rId17"/>
      <w:footerReference w:type="default" r:id="rId18"/>
      <w:pgSz w:w="12240" w:h="15840"/>
      <w:pgMar w:top="21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131" w:rsidRDefault="00F57131" w:rsidP="001A4B86">
      <w:pPr>
        <w:spacing w:after="0"/>
      </w:pPr>
      <w:r>
        <w:separator/>
      </w:r>
    </w:p>
  </w:endnote>
  <w:endnote w:type="continuationSeparator" w:id="0">
    <w:p w:rsidR="00F57131" w:rsidRDefault="00F57131" w:rsidP="001A4B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31" w:rsidRDefault="00F57131">
    <w:pPr>
      <w:pStyle w:val="Footer"/>
      <w:jc w:val="center"/>
    </w:pPr>
    <w:r>
      <w:fldChar w:fldCharType="begin"/>
    </w:r>
    <w:r>
      <w:instrText xml:space="preserve"> PAGE   \* MERGEFORMAT </w:instrText>
    </w:r>
    <w:r>
      <w:fldChar w:fldCharType="separate"/>
    </w:r>
    <w:r w:rsidR="00A11D2D">
      <w:rPr>
        <w:noProof/>
      </w:rPr>
      <w:t>2</w:t>
    </w:r>
    <w:r>
      <w:rPr>
        <w:noProof/>
      </w:rPr>
      <w:fldChar w:fldCharType="end"/>
    </w:r>
  </w:p>
  <w:p w:rsidR="00F57131" w:rsidRDefault="00F57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131" w:rsidRDefault="00F57131" w:rsidP="001A4B86">
      <w:pPr>
        <w:spacing w:after="0"/>
      </w:pPr>
      <w:r>
        <w:separator/>
      </w:r>
    </w:p>
  </w:footnote>
  <w:footnote w:type="continuationSeparator" w:id="0">
    <w:p w:rsidR="00F57131" w:rsidRDefault="00F57131" w:rsidP="001A4B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31" w:rsidRPr="00C62406" w:rsidRDefault="00F57131" w:rsidP="001A4B86">
    <w:pPr>
      <w:pStyle w:val="Header"/>
      <w:jc w:val="center"/>
      <w:rPr>
        <w:b/>
      </w:rPr>
    </w:pPr>
    <w:r>
      <w:rPr>
        <w:b/>
      </w:rPr>
      <w:t>Texas Water Development Board</w:t>
    </w:r>
  </w:p>
  <w:p w:rsidR="00F57131" w:rsidRDefault="00F57131" w:rsidP="001A4B86">
    <w:pPr>
      <w:pStyle w:val="Header"/>
      <w:jc w:val="center"/>
      <w:rPr>
        <w:b/>
        <w:sz w:val="32"/>
        <w:szCs w:val="32"/>
      </w:rPr>
    </w:pPr>
    <w:r>
      <w:rPr>
        <w:b/>
        <w:sz w:val="32"/>
        <w:szCs w:val="32"/>
      </w:rPr>
      <w:t>Drinking Water State Revolving Fund (DWSRF)</w:t>
    </w:r>
  </w:p>
  <w:p w:rsidR="00F57131" w:rsidRDefault="00F57131" w:rsidP="001A4B86">
    <w:pPr>
      <w:pStyle w:val="Header"/>
      <w:jc w:val="center"/>
      <w:rPr>
        <w:b/>
        <w:sz w:val="32"/>
        <w:szCs w:val="32"/>
      </w:rPr>
    </w:pPr>
    <w:r>
      <w:rPr>
        <w:b/>
        <w:sz w:val="32"/>
        <w:szCs w:val="32"/>
      </w:rPr>
      <w:t>P</w:t>
    </w:r>
    <w:r w:rsidRPr="00C62406">
      <w:rPr>
        <w:b/>
        <w:sz w:val="32"/>
        <w:szCs w:val="32"/>
      </w:rPr>
      <w:t xml:space="preserve">roject </w:t>
    </w:r>
    <w:r>
      <w:rPr>
        <w:b/>
        <w:sz w:val="32"/>
        <w:szCs w:val="32"/>
      </w:rPr>
      <w:t>Information Form (PIF)</w:t>
    </w:r>
  </w:p>
  <w:p w:rsidR="00F57131" w:rsidRPr="00C62406" w:rsidRDefault="00F57131" w:rsidP="001A4B86">
    <w:pPr>
      <w:pStyle w:val="Header"/>
      <w:jc w:val="center"/>
      <w:rPr>
        <w:b/>
        <w:sz w:val="32"/>
        <w:szCs w:val="32"/>
      </w:rPr>
    </w:pPr>
    <w:r>
      <w:rPr>
        <w:b/>
        <w:sz w:val="32"/>
        <w:szCs w:val="32"/>
      </w:rPr>
      <w:t>Guidelines</w:t>
    </w:r>
  </w:p>
  <w:p w:rsidR="00F57131" w:rsidRDefault="00F57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15C"/>
    <w:multiLevelType w:val="hybridMultilevel"/>
    <w:tmpl w:val="81807A3A"/>
    <w:lvl w:ilvl="0" w:tplc="2522F622">
      <w:start w:val="1"/>
      <w:numFmt w:val="decimal"/>
      <w:lvlText w:val="%1."/>
      <w:lvlJc w:val="left"/>
      <w:pPr>
        <w:tabs>
          <w:tab w:val="num" w:pos="720"/>
        </w:tabs>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nsid w:val="3B4E51B4"/>
    <w:multiLevelType w:val="hybridMultilevel"/>
    <w:tmpl w:val="523E964E"/>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F6796A"/>
    <w:multiLevelType w:val="hybridMultilevel"/>
    <w:tmpl w:val="4C0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810F8"/>
    <w:multiLevelType w:val="hybridMultilevel"/>
    <w:tmpl w:val="4BF6A382"/>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922F61"/>
    <w:multiLevelType w:val="hybridMultilevel"/>
    <w:tmpl w:val="9E640BE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51077B"/>
    <w:multiLevelType w:val="hybridMultilevel"/>
    <w:tmpl w:val="05142F1E"/>
    <w:lvl w:ilvl="0" w:tplc="FD042250">
      <w:start w:val="1"/>
      <w:numFmt w:val="decimal"/>
      <w:lvlText w:val="%1."/>
      <w:lvlJc w:val="left"/>
      <w:pPr>
        <w:tabs>
          <w:tab w:val="num" w:pos="720"/>
        </w:tabs>
        <w:ind w:left="720" w:hanging="180"/>
      </w:pPr>
      <w:rPr>
        <w:rFonts w:hint="default"/>
        <w:b w:val="0"/>
        <w:i w:val="0"/>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6CDB5724"/>
    <w:multiLevelType w:val="hybridMultilevel"/>
    <w:tmpl w:val="AF64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54BCE"/>
    <w:multiLevelType w:val="hybridMultilevel"/>
    <w:tmpl w:val="DAC8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CA80CAF"/>
    <w:multiLevelType w:val="hybridMultilevel"/>
    <w:tmpl w:val="8B42049C"/>
    <w:lvl w:ilvl="0" w:tplc="B36CD2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8"/>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86"/>
    <w:rsid w:val="000079D1"/>
    <w:rsid w:val="00011CDC"/>
    <w:rsid w:val="000137A5"/>
    <w:rsid w:val="0001640E"/>
    <w:rsid w:val="0002026D"/>
    <w:rsid w:val="00025762"/>
    <w:rsid w:val="00051D7D"/>
    <w:rsid w:val="00061DCC"/>
    <w:rsid w:val="000676EB"/>
    <w:rsid w:val="00090B68"/>
    <w:rsid w:val="00091E9E"/>
    <w:rsid w:val="000F2CD4"/>
    <w:rsid w:val="0012030C"/>
    <w:rsid w:val="00125779"/>
    <w:rsid w:val="00125BC9"/>
    <w:rsid w:val="001308F6"/>
    <w:rsid w:val="00136854"/>
    <w:rsid w:val="00147E93"/>
    <w:rsid w:val="00165E35"/>
    <w:rsid w:val="0017327E"/>
    <w:rsid w:val="00180543"/>
    <w:rsid w:val="0018543D"/>
    <w:rsid w:val="00186B14"/>
    <w:rsid w:val="0019249D"/>
    <w:rsid w:val="001A4B86"/>
    <w:rsid w:val="001A5D33"/>
    <w:rsid w:val="001B694E"/>
    <w:rsid w:val="001D042D"/>
    <w:rsid w:val="001D6CC8"/>
    <w:rsid w:val="001E7E51"/>
    <w:rsid w:val="00202545"/>
    <w:rsid w:val="00222BCB"/>
    <w:rsid w:val="00223FFB"/>
    <w:rsid w:val="00232A88"/>
    <w:rsid w:val="00233EF2"/>
    <w:rsid w:val="00245FEC"/>
    <w:rsid w:val="00246B52"/>
    <w:rsid w:val="002535CF"/>
    <w:rsid w:val="00256397"/>
    <w:rsid w:val="00256B40"/>
    <w:rsid w:val="00257ACC"/>
    <w:rsid w:val="00296A50"/>
    <w:rsid w:val="002B4156"/>
    <w:rsid w:val="002B7129"/>
    <w:rsid w:val="002B7AAF"/>
    <w:rsid w:val="002D3D24"/>
    <w:rsid w:val="002E3879"/>
    <w:rsid w:val="002F09EA"/>
    <w:rsid w:val="002F511B"/>
    <w:rsid w:val="00355E92"/>
    <w:rsid w:val="00356476"/>
    <w:rsid w:val="0035766F"/>
    <w:rsid w:val="003727B3"/>
    <w:rsid w:val="003823BE"/>
    <w:rsid w:val="003A6A81"/>
    <w:rsid w:val="003C7020"/>
    <w:rsid w:val="003D0F78"/>
    <w:rsid w:val="004024F4"/>
    <w:rsid w:val="00415CC1"/>
    <w:rsid w:val="00420ABF"/>
    <w:rsid w:val="00432601"/>
    <w:rsid w:val="004424CE"/>
    <w:rsid w:val="00447319"/>
    <w:rsid w:val="00453C5D"/>
    <w:rsid w:val="00467E85"/>
    <w:rsid w:val="00473327"/>
    <w:rsid w:val="00486BDE"/>
    <w:rsid w:val="004953D9"/>
    <w:rsid w:val="004A2692"/>
    <w:rsid w:val="004B6975"/>
    <w:rsid w:val="004C1E86"/>
    <w:rsid w:val="004E67A4"/>
    <w:rsid w:val="004F41C9"/>
    <w:rsid w:val="004F5EDE"/>
    <w:rsid w:val="004F7F6F"/>
    <w:rsid w:val="0051218C"/>
    <w:rsid w:val="00512251"/>
    <w:rsid w:val="00515C7C"/>
    <w:rsid w:val="00544223"/>
    <w:rsid w:val="005553C6"/>
    <w:rsid w:val="005736E9"/>
    <w:rsid w:val="00573E8C"/>
    <w:rsid w:val="00580ECA"/>
    <w:rsid w:val="0058380A"/>
    <w:rsid w:val="00586183"/>
    <w:rsid w:val="005B3807"/>
    <w:rsid w:val="005B4530"/>
    <w:rsid w:val="005F4761"/>
    <w:rsid w:val="006000C4"/>
    <w:rsid w:val="00601CCB"/>
    <w:rsid w:val="00650D40"/>
    <w:rsid w:val="00650F10"/>
    <w:rsid w:val="006516E8"/>
    <w:rsid w:val="00655E1C"/>
    <w:rsid w:val="00661902"/>
    <w:rsid w:val="006716D9"/>
    <w:rsid w:val="00683FE2"/>
    <w:rsid w:val="006D77CC"/>
    <w:rsid w:val="006E2427"/>
    <w:rsid w:val="00712071"/>
    <w:rsid w:val="0072735F"/>
    <w:rsid w:val="007600F6"/>
    <w:rsid w:val="00763051"/>
    <w:rsid w:val="0077099B"/>
    <w:rsid w:val="007B1825"/>
    <w:rsid w:val="007D07CF"/>
    <w:rsid w:val="007D35EF"/>
    <w:rsid w:val="007E14BD"/>
    <w:rsid w:val="007E3697"/>
    <w:rsid w:val="0082403A"/>
    <w:rsid w:val="00832E4A"/>
    <w:rsid w:val="0086719E"/>
    <w:rsid w:val="00893B4D"/>
    <w:rsid w:val="00895837"/>
    <w:rsid w:val="008A1CCF"/>
    <w:rsid w:val="008A2BE0"/>
    <w:rsid w:val="008B6597"/>
    <w:rsid w:val="008C6984"/>
    <w:rsid w:val="008C6998"/>
    <w:rsid w:val="00900B4F"/>
    <w:rsid w:val="0090279B"/>
    <w:rsid w:val="00912353"/>
    <w:rsid w:val="00917934"/>
    <w:rsid w:val="009227BF"/>
    <w:rsid w:val="00941EF2"/>
    <w:rsid w:val="00942488"/>
    <w:rsid w:val="009558D6"/>
    <w:rsid w:val="00966106"/>
    <w:rsid w:val="00971BEF"/>
    <w:rsid w:val="009733F5"/>
    <w:rsid w:val="00993F85"/>
    <w:rsid w:val="009A59DF"/>
    <w:rsid w:val="009C142A"/>
    <w:rsid w:val="009D6C6E"/>
    <w:rsid w:val="00A11820"/>
    <w:rsid w:val="00A11D2D"/>
    <w:rsid w:val="00A15670"/>
    <w:rsid w:val="00A16C61"/>
    <w:rsid w:val="00A17024"/>
    <w:rsid w:val="00A26EF7"/>
    <w:rsid w:val="00A4372E"/>
    <w:rsid w:val="00A43F56"/>
    <w:rsid w:val="00A53490"/>
    <w:rsid w:val="00A55197"/>
    <w:rsid w:val="00A664CD"/>
    <w:rsid w:val="00A67212"/>
    <w:rsid w:val="00A70CE6"/>
    <w:rsid w:val="00A70F35"/>
    <w:rsid w:val="00A74E05"/>
    <w:rsid w:val="00A7573A"/>
    <w:rsid w:val="00A76D31"/>
    <w:rsid w:val="00A80885"/>
    <w:rsid w:val="00A9007C"/>
    <w:rsid w:val="00AA351E"/>
    <w:rsid w:val="00AA5B19"/>
    <w:rsid w:val="00AA73B6"/>
    <w:rsid w:val="00AA7ED4"/>
    <w:rsid w:val="00AD7129"/>
    <w:rsid w:val="00AE131C"/>
    <w:rsid w:val="00AE2658"/>
    <w:rsid w:val="00AF05AA"/>
    <w:rsid w:val="00AF5377"/>
    <w:rsid w:val="00B20185"/>
    <w:rsid w:val="00B21DB7"/>
    <w:rsid w:val="00B24B2D"/>
    <w:rsid w:val="00B26AEF"/>
    <w:rsid w:val="00B63108"/>
    <w:rsid w:val="00B676CC"/>
    <w:rsid w:val="00B85EA9"/>
    <w:rsid w:val="00BA4751"/>
    <w:rsid w:val="00BC4239"/>
    <w:rsid w:val="00C046B1"/>
    <w:rsid w:val="00C04A77"/>
    <w:rsid w:val="00C124BC"/>
    <w:rsid w:val="00C3754A"/>
    <w:rsid w:val="00C51B67"/>
    <w:rsid w:val="00C605A5"/>
    <w:rsid w:val="00C60F75"/>
    <w:rsid w:val="00C92741"/>
    <w:rsid w:val="00CA7B10"/>
    <w:rsid w:val="00CD2026"/>
    <w:rsid w:val="00CD3D82"/>
    <w:rsid w:val="00CE578D"/>
    <w:rsid w:val="00D13EB7"/>
    <w:rsid w:val="00D249D4"/>
    <w:rsid w:val="00D30CB8"/>
    <w:rsid w:val="00D521ED"/>
    <w:rsid w:val="00D52D2B"/>
    <w:rsid w:val="00D6092D"/>
    <w:rsid w:val="00D670FB"/>
    <w:rsid w:val="00D8104C"/>
    <w:rsid w:val="00D81117"/>
    <w:rsid w:val="00D87F72"/>
    <w:rsid w:val="00DA3CF3"/>
    <w:rsid w:val="00DA5EEF"/>
    <w:rsid w:val="00DB143C"/>
    <w:rsid w:val="00DF0CEA"/>
    <w:rsid w:val="00E05EC4"/>
    <w:rsid w:val="00E06ECA"/>
    <w:rsid w:val="00E10CAD"/>
    <w:rsid w:val="00E11C0C"/>
    <w:rsid w:val="00E12E5F"/>
    <w:rsid w:val="00E13C19"/>
    <w:rsid w:val="00E26E59"/>
    <w:rsid w:val="00E41597"/>
    <w:rsid w:val="00E5013F"/>
    <w:rsid w:val="00E571E6"/>
    <w:rsid w:val="00E610AF"/>
    <w:rsid w:val="00E83FA8"/>
    <w:rsid w:val="00E908FA"/>
    <w:rsid w:val="00E927DF"/>
    <w:rsid w:val="00EA0AD6"/>
    <w:rsid w:val="00EA1E91"/>
    <w:rsid w:val="00EB4D65"/>
    <w:rsid w:val="00EB5D95"/>
    <w:rsid w:val="00EC42A6"/>
    <w:rsid w:val="00ED3841"/>
    <w:rsid w:val="00EE61C6"/>
    <w:rsid w:val="00F046D1"/>
    <w:rsid w:val="00F12B5B"/>
    <w:rsid w:val="00F200D3"/>
    <w:rsid w:val="00F23020"/>
    <w:rsid w:val="00F23C22"/>
    <w:rsid w:val="00F25692"/>
    <w:rsid w:val="00F310FE"/>
    <w:rsid w:val="00F32A11"/>
    <w:rsid w:val="00F41153"/>
    <w:rsid w:val="00F57131"/>
    <w:rsid w:val="00F64125"/>
    <w:rsid w:val="00F80663"/>
    <w:rsid w:val="00F82D68"/>
    <w:rsid w:val="00F83605"/>
    <w:rsid w:val="00F868E6"/>
    <w:rsid w:val="00FC16F7"/>
    <w:rsid w:val="00FD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86"/>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86"/>
    <w:pPr>
      <w:tabs>
        <w:tab w:val="center" w:pos="4680"/>
        <w:tab w:val="right" w:pos="9360"/>
      </w:tabs>
      <w:spacing w:after="0"/>
    </w:pPr>
  </w:style>
  <w:style w:type="character" w:customStyle="1" w:styleId="HeaderChar">
    <w:name w:val="Header Char"/>
    <w:link w:val="Header"/>
    <w:uiPriority w:val="99"/>
    <w:rsid w:val="001A4B86"/>
    <w:rPr>
      <w:rFonts w:ascii="Times New Roman" w:hAnsi="Times New Roman" w:cs="Times New Roman"/>
      <w:sz w:val="24"/>
      <w:szCs w:val="24"/>
    </w:rPr>
  </w:style>
  <w:style w:type="paragraph" w:styleId="Footer">
    <w:name w:val="footer"/>
    <w:basedOn w:val="Normal"/>
    <w:link w:val="FooterChar"/>
    <w:uiPriority w:val="99"/>
    <w:unhideWhenUsed/>
    <w:rsid w:val="001A4B86"/>
    <w:pPr>
      <w:tabs>
        <w:tab w:val="center" w:pos="4680"/>
        <w:tab w:val="right" w:pos="9360"/>
      </w:tabs>
      <w:spacing w:after="0"/>
    </w:pPr>
  </w:style>
  <w:style w:type="character" w:customStyle="1" w:styleId="FooterChar">
    <w:name w:val="Footer Char"/>
    <w:link w:val="Footer"/>
    <w:uiPriority w:val="99"/>
    <w:rsid w:val="001A4B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A4B86"/>
    <w:pPr>
      <w:spacing w:after="0"/>
    </w:pPr>
    <w:rPr>
      <w:rFonts w:ascii="Tahoma" w:hAnsi="Tahoma" w:cs="Tahoma"/>
      <w:sz w:val="16"/>
      <w:szCs w:val="16"/>
    </w:rPr>
  </w:style>
  <w:style w:type="character" w:customStyle="1" w:styleId="BalloonTextChar">
    <w:name w:val="Balloon Text Char"/>
    <w:link w:val="BalloonText"/>
    <w:uiPriority w:val="99"/>
    <w:semiHidden/>
    <w:rsid w:val="001A4B86"/>
    <w:rPr>
      <w:rFonts w:ascii="Tahoma" w:hAnsi="Tahoma" w:cs="Tahoma"/>
      <w:sz w:val="16"/>
      <w:szCs w:val="16"/>
    </w:rPr>
  </w:style>
  <w:style w:type="character" w:styleId="Hyperlink">
    <w:name w:val="Hyperlink"/>
    <w:unhideWhenUsed/>
    <w:rsid w:val="00E41597"/>
    <w:rPr>
      <w:color w:val="0000FF"/>
      <w:u w:val="single"/>
    </w:rPr>
  </w:style>
  <w:style w:type="character" w:styleId="FollowedHyperlink">
    <w:name w:val="FollowedHyperlink"/>
    <w:uiPriority w:val="99"/>
    <w:semiHidden/>
    <w:unhideWhenUsed/>
    <w:rsid w:val="00051D7D"/>
    <w:rPr>
      <w:color w:val="800080"/>
      <w:u w:val="single"/>
    </w:rPr>
  </w:style>
  <w:style w:type="table" w:styleId="TableGrid">
    <w:name w:val="Table Grid"/>
    <w:basedOn w:val="TableNormal"/>
    <w:uiPriority w:val="59"/>
    <w:rsid w:val="00E83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86"/>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86"/>
    <w:pPr>
      <w:tabs>
        <w:tab w:val="center" w:pos="4680"/>
        <w:tab w:val="right" w:pos="9360"/>
      </w:tabs>
      <w:spacing w:after="0"/>
    </w:pPr>
  </w:style>
  <w:style w:type="character" w:customStyle="1" w:styleId="HeaderChar">
    <w:name w:val="Header Char"/>
    <w:link w:val="Header"/>
    <w:uiPriority w:val="99"/>
    <w:rsid w:val="001A4B86"/>
    <w:rPr>
      <w:rFonts w:ascii="Times New Roman" w:hAnsi="Times New Roman" w:cs="Times New Roman"/>
      <w:sz w:val="24"/>
      <w:szCs w:val="24"/>
    </w:rPr>
  </w:style>
  <w:style w:type="paragraph" w:styleId="Footer">
    <w:name w:val="footer"/>
    <w:basedOn w:val="Normal"/>
    <w:link w:val="FooterChar"/>
    <w:uiPriority w:val="99"/>
    <w:unhideWhenUsed/>
    <w:rsid w:val="001A4B86"/>
    <w:pPr>
      <w:tabs>
        <w:tab w:val="center" w:pos="4680"/>
        <w:tab w:val="right" w:pos="9360"/>
      </w:tabs>
      <w:spacing w:after="0"/>
    </w:pPr>
  </w:style>
  <w:style w:type="character" w:customStyle="1" w:styleId="FooterChar">
    <w:name w:val="Footer Char"/>
    <w:link w:val="Footer"/>
    <w:uiPriority w:val="99"/>
    <w:rsid w:val="001A4B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A4B86"/>
    <w:pPr>
      <w:spacing w:after="0"/>
    </w:pPr>
    <w:rPr>
      <w:rFonts w:ascii="Tahoma" w:hAnsi="Tahoma" w:cs="Tahoma"/>
      <w:sz w:val="16"/>
      <w:szCs w:val="16"/>
    </w:rPr>
  </w:style>
  <w:style w:type="character" w:customStyle="1" w:styleId="BalloonTextChar">
    <w:name w:val="Balloon Text Char"/>
    <w:link w:val="BalloonText"/>
    <w:uiPriority w:val="99"/>
    <w:semiHidden/>
    <w:rsid w:val="001A4B86"/>
    <w:rPr>
      <w:rFonts w:ascii="Tahoma" w:hAnsi="Tahoma" w:cs="Tahoma"/>
      <w:sz w:val="16"/>
      <w:szCs w:val="16"/>
    </w:rPr>
  </w:style>
  <w:style w:type="character" w:styleId="Hyperlink">
    <w:name w:val="Hyperlink"/>
    <w:unhideWhenUsed/>
    <w:rsid w:val="00E41597"/>
    <w:rPr>
      <w:color w:val="0000FF"/>
      <w:u w:val="single"/>
    </w:rPr>
  </w:style>
  <w:style w:type="character" w:styleId="FollowedHyperlink">
    <w:name w:val="FollowedHyperlink"/>
    <w:uiPriority w:val="99"/>
    <w:semiHidden/>
    <w:unhideWhenUsed/>
    <w:rsid w:val="00051D7D"/>
    <w:rPr>
      <w:color w:val="800080"/>
      <w:u w:val="single"/>
    </w:rPr>
  </w:style>
  <w:style w:type="table" w:styleId="TableGrid">
    <w:name w:val="Table Grid"/>
    <w:basedOn w:val="TableNormal"/>
    <w:uiPriority w:val="59"/>
    <w:rsid w:val="00E83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WIUPsubmissions@twdb.texas.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2.twdb.texas.gov/FileTXFR/Login.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tthew.schmidt@twdb.texa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WIUPsubmissions@twdb.texas.gov" TargetMode="External"/><Relationship Id="rId5" Type="http://schemas.openxmlformats.org/officeDocument/2006/relationships/settings" Target="settings.xml"/><Relationship Id="rId15" Type="http://schemas.openxmlformats.org/officeDocument/2006/relationships/hyperlink" Target="http://www.twdb.texas.gov/financial/programs/dwsrf/" TargetMode="External"/><Relationship Id="rId10" Type="http://schemas.openxmlformats.org/officeDocument/2006/relationships/hyperlink" Target="http://www.twdb.texas.gov/financial/applications/references.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wdb.texas.gov/financial/programs/pif.asp" TargetMode="External"/><Relationship Id="rId14" Type="http://schemas.openxmlformats.org/officeDocument/2006/relationships/hyperlink" Target="http://www.twdb.texas.gov/financial/programs/pi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35EA-CBAF-4755-82D1-70628E49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Texas Water Development Board</Company>
  <LinksUpToDate>false</LinksUpToDate>
  <CharactersWithSpaces>11172</CharactersWithSpaces>
  <SharedDoc>false</SharedDoc>
  <HLinks>
    <vt:vector size="108" baseType="variant">
      <vt:variant>
        <vt:i4>1638451</vt:i4>
      </vt:variant>
      <vt:variant>
        <vt:i4>51</vt:i4>
      </vt:variant>
      <vt:variant>
        <vt:i4>0</vt:i4>
      </vt:variant>
      <vt:variant>
        <vt:i4>5</vt:i4>
      </vt:variant>
      <vt:variant>
        <vt:lpwstr>mailto:matthew.schmidt@twdb.texas.gov</vt:lpwstr>
      </vt:variant>
      <vt:variant>
        <vt:lpwstr/>
      </vt:variant>
      <vt:variant>
        <vt:i4>2883682</vt:i4>
      </vt:variant>
      <vt:variant>
        <vt:i4>48</vt:i4>
      </vt:variant>
      <vt:variant>
        <vt:i4>0</vt:i4>
      </vt:variant>
      <vt:variant>
        <vt:i4>5</vt:i4>
      </vt:variant>
      <vt:variant>
        <vt:lpwstr>http://www.twdb.texas.gov/financial/programs/dwsrf/</vt:lpwstr>
      </vt:variant>
      <vt:variant>
        <vt:lpwstr/>
      </vt:variant>
      <vt:variant>
        <vt:i4>1245185</vt:i4>
      </vt:variant>
      <vt:variant>
        <vt:i4>45</vt:i4>
      </vt:variant>
      <vt:variant>
        <vt:i4>0</vt:i4>
      </vt:variant>
      <vt:variant>
        <vt:i4>5</vt:i4>
      </vt:variant>
      <vt:variant>
        <vt:lpwstr>http://www.twdb.texas.gov/financial/programs/DWSRF/doc/SFY16/DW_Sections_8_update_worksheet.docx</vt:lpwstr>
      </vt:variant>
      <vt:variant>
        <vt:lpwstr/>
      </vt:variant>
      <vt:variant>
        <vt:i4>1966153</vt:i4>
      </vt:variant>
      <vt:variant>
        <vt:i4>42</vt:i4>
      </vt:variant>
      <vt:variant>
        <vt:i4>0</vt:i4>
      </vt:variant>
      <vt:variant>
        <vt:i4>5</vt:i4>
      </vt:variant>
      <vt:variant>
        <vt:lpwstr>http://www.twdb.texas.gov/financial/programs/DWSRF/doc/SFY16/SWP_update_worksheet.docx</vt:lpwstr>
      </vt:variant>
      <vt:variant>
        <vt:lpwstr/>
      </vt:variant>
      <vt:variant>
        <vt:i4>1835009</vt:i4>
      </vt:variant>
      <vt:variant>
        <vt:i4>39</vt:i4>
      </vt:variant>
      <vt:variant>
        <vt:i4>0</vt:i4>
      </vt:variant>
      <vt:variant>
        <vt:i4>5</vt:i4>
      </vt:variant>
      <vt:variant>
        <vt:lpwstr>http://www.twdb.texas.gov/financial/programs/DWSRF/doc/SFY16/DW_Sections_7_update_worksheet.docx</vt:lpwstr>
      </vt:variant>
      <vt:variant>
        <vt:lpwstr/>
      </vt:variant>
      <vt:variant>
        <vt:i4>7340081</vt:i4>
      </vt:variant>
      <vt:variant>
        <vt:i4>36</vt:i4>
      </vt:variant>
      <vt:variant>
        <vt:i4>0</vt:i4>
      </vt:variant>
      <vt:variant>
        <vt:i4>5</vt:i4>
      </vt:variant>
      <vt:variant>
        <vt:lpwstr>http://www.twdb.texas.gov/financial/programs/DWSRF/doc/SFY16/Consolidation_update_worksheet.docx</vt:lpwstr>
      </vt:variant>
      <vt:variant>
        <vt:lpwstr/>
      </vt:variant>
      <vt:variant>
        <vt:i4>1900545</vt:i4>
      </vt:variant>
      <vt:variant>
        <vt:i4>33</vt:i4>
      </vt:variant>
      <vt:variant>
        <vt:i4>0</vt:i4>
      </vt:variant>
      <vt:variant>
        <vt:i4>5</vt:i4>
      </vt:variant>
      <vt:variant>
        <vt:lpwstr>http://www.twdb.texas.gov/financial/programs/DWSRF/doc/sfy16/DW_sections_6_update_worksheet.docx</vt:lpwstr>
      </vt:variant>
      <vt:variant>
        <vt:lpwstr/>
      </vt:variant>
      <vt:variant>
        <vt:i4>7864362</vt:i4>
      </vt:variant>
      <vt:variant>
        <vt:i4>30</vt:i4>
      </vt:variant>
      <vt:variant>
        <vt:i4>0</vt:i4>
      </vt:variant>
      <vt:variant>
        <vt:i4>5</vt:i4>
      </vt:variant>
      <vt:variant>
        <vt:lpwstr>http://www.twdb.texas.gov/financial/programs/DWSRF/doc/SFY16/Disadvantaged_update_worksheet.docx</vt:lpwstr>
      </vt:variant>
      <vt:variant>
        <vt:lpwstr/>
      </vt:variant>
      <vt:variant>
        <vt:i4>1966081</vt:i4>
      </vt:variant>
      <vt:variant>
        <vt:i4>27</vt:i4>
      </vt:variant>
      <vt:variant>
        <vt:i4>0</vt:i4>
      </vt:variant>
      <vt:variant>
        <vt:i4>5</vt:i4>
      </vt:variant>
      <vt:variant>
        <vt:lpwstr>http://www.twdb.texas.gov/financial/programs/DWSRF/doc/SFY16/DW_Sections_5_update_worksheet.docx</vt:lpwstr>
      </vt:variant>
      <vt:variant>
        <vt:lpwstr/>
      </vt:variant>
      <vt:variant>
        <vt:i4>393216</vt:i4>
      </vt:variant>
      <vt:variant>
        <vt:i4>24</vt:i4>
      </vt:variant>
      <vt:variant>
        <vt:i4>0</vt:i4>
      </vt:variant>
      <vt:variant>
        <vt:i4>5</vt:i4>
      </vt:variant>
      <vt:variant>
        <vt:lpwstr>http://www.twdb.texas.gov/financial/programs/DWSRF/doc/SFY16/DW_Sections_10-11_update_worksheet.docx</vt:lpwstr>
      </vt:variant>
      <vt:variant>
        <vt:lpwstr/>
      </vt:variant>
      <vt:variant>
        <vt:i4>2031617</vt:i4>
      </vt:variant>
      <vt:variant>
        <vt:i4>21</vt:i4>
      </vt:variant>
      <vt:variant>
        <vt:i4>0</vt:i4>
      </vt:variant>
      <vt:variant>
        <vt:i4>5</vt:i4>
      </vt:variant>
      <vt:variant>
        <vt:lpwstr>http://www.twdb.texas.gov/financial/programs/DWSRF/doc/SFY16/DW_sections_4_update_worksheet.docx</vt:lpwstr>
      </vt:variant>
      <vt:variant>
        <vt:lpwstr/>
      </vt:variant>
      <vt:variant>
        <vt:i4>1179649</vt:i4>
      </vt:variant>
      <vt:variant>
        <vt:i4>18</vt:i4>
      </vt:variant>
      <vt:variant>
        <vt:i4>0</vt:i4>
      </vt:variant>
      <vt:variant>
        <vt:i4>5</vt:i4>
      </vt:variant>
      <vt:variant>
        <vt:lpwstr>http://www.twdb.texas.gov/financial/programs/DWSRF/doc/SFY16/DW_Sections_9_update_worksheet.docx</vt:lpwstr>
      </vt:variant>
      <vt:variant>
        <vt:lpwstr/>
      </vt:variant>
      <vt:variant>
        <vt:i4>2687020</vt:i4>
      </vt:variant>
      <vt:variant>
        <vt:i4>15</vt:i4>
      </vt:variant>
      <vt:variant>
        <vt:i4>0</vt:i4>
      </vt:variant>
      <vt:variant>
        <vt:i4>5</vt:i4>
      </vt:variant>
      <vt:variant>
        <vt:lpwstr>http://www.twdb.texas.gov/financial/programs/DWSRF/doc/SFY16/DW_Sections_1-3_update_worksheet.docx</vt:lpwstr>
      </vt:variant>
      <vt:variant>
        <vt:lpwstr/>
      </vt:variant>
      <vt:variant>
        <vt:i4>1638451</vt:i4>
      </vt:variant>
      <vt:variant>
        <vt:i4>12</vt:i4>
      </vt:variant>
      <vt:variant>
        <vt:i4>0</vt:i4>
      </vt:variant>
      <vt:variant>
        <vt:i4>5</vt:i4>
      </vt:variant>
      <vt:variant>
        <vt:lpwstr>mailto:matthew.schmidt@twdb.texas.gov</vt:lpwstr>
      </vt:variant>
      <vt:variant>
        <vt:lpwstr/>
      </vt:variant>
      <vt:variant>
        <vt:i4>2687023</vt:i4>
      </vt:variant>
      <vt:variant>
        <vt:i4>9</vt:i4>
      </vt:variant>
      <vt:variant>
        <vt:i4>0</vt:i4>
      </vt:variant>
      <vt:variant>
        <vt:i4>5</vt:i4>
      </vt:variant>
      <vt:variant>
        <vt:lpwstr>http://www.twdb.texas.gov/financial/applications/index.asp</vt:lpwstr>
      </vt:variant>
      <vt:variant>
        <vt:lpwstr/>
      </vt:variant>
      <vt:variant>
        <vt:i4>4718628</vt:i4>
      </vt:variant>
      <vt:variant>
        <vt:i4>6</vt:i4>
      </vt:variant>
      <vt:variant>
        <vt:i4>0</vt:i4>
      </vt:variant>
      <vt:variant>
        <vt:i4>5</vt:i4>
      </vt:variant>
      <vt:variant>
        <vt:lpwstr>mailto:DWIUPsubmissions@twdb.texas.gov</vt:lpwstr>
      </vt:variant>
      <vt:variant>
        <vt:lpwstr/>
      </vt:variant>
      <vt:variant>
        <vt:i4>7471225</vt:i4>
      </vt:variant>
      <vt:variant>
        <vt:i4>3</vt:i4>
      </vt:variant>
      <vt:variant>
        <vt:i4>0</vt:i4>
      </vt:variant>
      <vt:variant>
        <vt:i4>5</vt:i4>
      </vt:variant>
      <vt:variant>
        <vt:lpwstr>https://www2.twdb.texas.gov/FileTXFR/Login.aspx</vt:lpwstr>
      </vt:variant>
      <vt:variant>
        <vt:lpwstr/>
      </vt:variant>
      <vt:variant>
        <vt:i4>4718628</vt:i4>
      </vt:variant>
      <vt:variant>
        <vt:i4>0</vt:i4>
      </vt:variant>
      <vt:variant>
        <vt:i4>0</vt:i4>
      </vt:variant>
      <vt:variant>
        <vt:i4>5</vt:i4>
      </vt:variant>
      <vt:variant>
        <vt:lpwstr>mailto:DWIUPsubmissions@twdb.texas.gov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Mark.Wyatt@twdb.texas.gov</dc:creator>
  <cp:lastModifiedBy>HDesk</cp:lastModifiedBy>
  <cp:revision>2</cp:revision>
  <cp:lastPrinted>2016-12-08T22:27:00Z</cp:lastPrinted>
  <dcterms:created xsi:type="dcterms:W3CDTF">2017-12-01T15:01:00Z</dcterms:created>
  <dcterms:modified xsi:type="dcterms:W3CDTF">2017-12-01T15:01:00Z</dcterms:modified>
</cp:coreProperties>
</file>