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E29" w:rsidRPr="00036E4C" w:rsidRDefault="00B10A1A" w:rsidP="0085458F">
      <w:pPr>
        <w:ind w:right="-450"/>
        <w:rPr>
          <w:rFonts w:ascii="Times New Roman" w:hAnsi="Times New Roman" w:cs="Times New Roman"/>
          <w:sz w:val="24"/>
          <w:szCs w:val="24"/>
        </w:rPr>
      </w:pPr>
      <w:r w:rsidRPr="00036E4C">
        <w:rPr>
          <w:rFonts w:ascii="Times New Roman" w:hAnsi="Times New Roman" w:cs="Times New Roman"/>
          <w:sz w:val="24"/>
          <w:szCs w:val="24"/>
        </w:rPr>
        <w:t>October 30, 2015</w:t>
      </w:r>
    </w:p>
    <w:p w:rsidR="00374409" w:rsidRDefault="00374409"/>
    <w:p w:rsidR="00374409" w:rsidRPr="00374409" w:rsidRDefault="00374409" w:rsidP="00374409">
      <w:pPr>
        <w:spacing w:after="0" w:line="240" w:lineRule="auto"/>
        <w:rPr>
          <w:rFonts w:ascii="Times New Roman" w:eastAsia="Times New Roman" w:hAnsi="Times New Roman" w:cs="Times New Roman"/>
          <w:sz w:val="24"/>
          <w:szCs w:val="24"/>
        </w:rPr>
      </w:pPr>
      <w:r w:rsidRPr="00374409">
        <w:rPr>
          <w:rFonts w:ascii="Times New Roman" w:eastAsia="Times New Roman" w:hAnsi="Times New Roman" w:cs="Times New Roman"/>
          <w:sz w:val="24"/>
          <w:szCs w:val="24"/>
        </w:rPr>
        <w:t xml:space="preserve">Dr. Sanjeev </w:t>
      </w:r>
      <w:proofErr w:type="spellStart"/>
      <w:r w:rsidRPr="00374409">
        <w:rPr>
          <w:rFonts w:ascii="Times New Roman" w:eastAsia="Times New Roman" w:hAnsi="Times New Roman" w:cs="Times New Roman"/>
          <w:sz w:val="24"/>
          <w:szCs w:val="24"/>
        </w:rPr>
        <w:t>Kalaswad</w:t>
      </w:r>
      <w:proofErr w:type="spellEnd"/>
      <w:r w:rsidRPr="00374409">
        <w:rPr>
          <w:rFonts w:ascii="Times New Roman" w:eastAsia="Times New Roman" w:hAnsi="Times New Roman" w:cs="Times New Roman"/>
          <w:sz w:val="24"/>
          <w:szCs w:val="24"/>
        </w:rPr>
        <w:tab/>
        <w:t xml:space="preserve">           </w:t>
      </w:r>
      <w:r w:rsidRPr="00374409">
        <w:rPr>
          <w:rFonts w:ascii="Times New Roman" w:eastAsia="Times New Roman" w:hAnsi="Times New Roman" w:cs="Times New Roman"/>
          <w:sz w:val="24"/>
          <w:szCs w:val="24"/>
        </w:rPr>
        <w:tab/>
      </w:r>
      <w:r w:rsidRPr="00374409">
        <w:rPr>
          <w:rFonts w:ascii="Times New Roman" w:eastAsia="Times New Roman" w:hAnsi="Times New Roman" w:cs="Times New Roman"/>
          <w:sz w:val="24"/>
          <w:szCs w:val="24"/>
        </w:rPr>
        <w:tab/>
      </w:r>
      <w:r w:rsidRPr="00374409">
        <w:rPr>
          <w:rFonts w:ascii="Times New Roman" w:eastAsia="Times New Roman" w:hAnsi="Times New Roman" w:cs="Times New Roman"/>
          <w:sz w:val="24"/>
          <w:szCs w:val="24"/>
        </w:rPr>
        <w:tab/>
      </w:r>
      <w:r w:rsidR="00B10A1A">
        <w:rPr>
          <w:rFonts w:ascii="Times New Roman" w:eastAsia="Times New Roman" w:hAnsi="Times New Roman" w:cs="Times New Roman"/>
          <w:sz w:val="24"/>
          <w:szCs w:val="24"/>
        </w:rPr>
        <w:tab/>
      </w:r>
      <w:r w:rsidRPr="00374409">
        <w:rPr>
          <w:rFonts w:ascii="Times New Roman" w:eastAsia="Times New Roman" w:hAnsi="Times New Roman" w:cs="Times New Roman"/>
          <w:sz w:val="24"/>
          <w:szCs w:val="24"/>
        </w:rPr>
        <w:t xml:space="preserve">(VIA Email: </w:t>
      </w:r>
      <w:hyperlink r:id="rId8" w:history="1">
        <w:r w:rsidRPr="00374409">
          <w:rPr>
            <w:rFonts w:ascii="Times New Roman" w:eastAsia="Times New Roman" w:hAnsi="Times New Roman" w:cs="Times New Roman"/>
            <w:color w:val="0000FF"/>
            <w:sz w:val="24"/>
            <w:szCs w:val="24"/>
            <w:u w:val="single"/>
            <w:bdr w:val="none" w:sz="0" w:space="0" w:color="auto" w:frame="1"/>
          </w:rPr>
          <w:t>sanjeev.kalaswad@twdb.texas.gov</w:t>
        </w:r>
      </w:hyperlink>
      <w:r w:rsidRPr="00374409">
        <w:rPr>
          <w:rFonts w:ascii="Times New Roman" w:eastAsia="Times New Roman" w:hAnsi="Times New Roman" w:cs="Times New Roman"/>
          <w:sz w:val="24"/>
          <w:szCs w:val="24"/>
        </w:rPr>
        <w:t>)</w:t>
      </w:r>
    </w:p>
    <w:p w:rsidR="00374409" w:rsidRPr="00374409" w:rsidRDefault="00374409" w:rsidP="00374409">
      <w:pPr>
        <w:spacing w:after="0" w:line="240" w:lineRule="auto"/>
        <w:rPr>
          <w:rFonts w:ascii="Times New Roman" w:eastAsia="Times New Roman" w:hAnsi="Times New Roman" w:cs="Times New Roman"/>
          <w:sz w:val="24"/>
          <w:szCs w:val="24"/>
        </w:rPr>
      </w:pPr>
      <w:r w:rsidRPr="00374409">
        <w:rPr>
          <w:rFonts w:ascii="Times New Roman" w:eastAsia="Times New Roman" w:hAnsi="Times New Roman" w:cs="Times New Roman"/>
          <w:sz w:val="24"/>
          <w:szCs w:val="24"/>
        </w:rPr>
        <w:t xml:space="preserve">Director of Conservation &amp; Innovative Water Technologies </w:t>
      </w:r>
    </w:p>
    <w:p w:rsidR="00374409" w:rsidRPr="00374409" w:rsidRDefault="00374409" w:rsidP="00374409">
      <w:pPr>
        <w:spacing w:after="0" w:line="240" w:lineRule="auto"/>
        <w:rPr>
          <w:rFonts w:ascii="Times New Roman" w:eastAsia="Times New Roman" w:hAnsi="Times New Roman" w:cs="Times New Roman"/>
          <w:sz w:val="24"/>
          <w:szCs w:val="24"/>
        </w:rPr>
      </w:pPr>
      <w:r w:rsidRPr="00374409">
        <w:rPr>
          <w:rFonts w:ascii="Times New Roman" w:eastAsia="Times New Roman" w:hAnsi="Times New Roman" w:cs="Times New Roman"/>
          <w:sz w:val="24"/>
          <w:szCs w:val="24"/>
        </w:rPr>
        <w:t>Texas Water Development Board</w:t>
      </w:r>
    </w:p>
    <w:p w:rsidR="00374409" w:rsidRPr="00374409" w:rsidRDefault="00374409" w:rsidP="00374409">
      <w:pPr>
        <w:spacing w:after="0" w:line="240" w:lineRule="auto"/>
        <w:rPr>
          <w:rFonts w:ascii="Times New Roman" w:eastAsia="Times New Roman" w:hAnsi="Times New Roman" w:cs="Times New Roman"/>
          <w:sz w:val="24"/>
          <w:szCs w:val="24"/>
        </w:rPr>
      </w:pPr>
      <w:r w:rsidRPr="00374409">
        <w:rPr>
          <w:rFonts w:ascii="Times New Roman" w:eastAsia="Times New Roman" w:hAnsi="Times New Roman" w:cs="Times New Roman"/>
          <w:sz w:val="24"/>
          <w:szCs w:val="24"/>
        </w:rPr>
        <w:t>P.O. Box 13231</w:t>
      </w:r>
    </w:p>
    <w:p w:rsidR="00374409" w:rsidRPr="00374409" w:rsidRDefault="00374409" w:rsidP="00374409">
      <w:pPr>
        <w:spacing w:after="0" w:line="240" w:lineRule="auto"/>
        <w:rPr>
          <w:rFonts w:ascii="Times New Roman" w:eastAsia="Times New Roman" w:hAnsi="Times New Roman" w:cs="Times New Roman"/>
          <w:sz w:val="24"/>
          <w:szCs w:val="24"/>
        </w:rPr>
      </w:pPr>
      <w:r w:rsidRPr="00374409">
        <w:rPr>
          <w:rFonts w:ascii="Times New Roman" w:eastAsia="Times New Roman" w:hAnsi="Times New Roman" w:cs="Times New Roman"/>
          <w:sz w:val="24"/>
          <w:szCs w:val="24"/>
        </w:rPr>
        <w:t>Austin, Texas 78711-3231</w:t>
      </w:r>
    </w:p>
    <w:p w:rsidR="00374409" w:rsidRPr="00374409" w:rsidRDefault="00374409" w:rsidP="00374409">
      <w:pPr>
        <w:spacing w:after="0" w:line="240" w:lineRule="auto"/>
        <w:rPr>
          <w:rFonts w:ascii="Times New Roman" w:eastAsia="Times New Roman" w:hAnsi="Times New Roman" w:cs="Times New Roman"/>
          <w:sz w:val="24"/>
          <w:szCs w:val="24"/>
        </w:rPr>
      </w:pPr>
    </w:p>
    <w:p w:rsidR="00374409" w:rsidRPr="00374409" w:rsidRDefault="00374409" w:rsidP="00374409">
      <w:pPr>
        <w:spacing w:after="0" w:line="240" w:lineRule="auto"/>
        <w:rPr>
          <w:rFonts w:ascii="Times New Roman" w:eastAsia="Times New Roman" w:hAnsi="Times New Roman" w:cs="Times New Roman"/>
          <w:sz w:val="24"/>
          <w:szCs w:val="24"/>
        </w:rPr>
      </w:pPr>
      <w:r w:rsidRPr="00374409">
        <w:rPr>
          <w:rFonts w:ascii="Times New Roman" w:eastAsia="Times New Roman" w:hAnsi="Times New Roman" w:cs="Times New Roman"/>
          <w:sz w:val="24"/>
          <w:szCs w:val="24"/>
        </w:rPr>
        <w:t>Dear Dr. Kalaswad,</w:t>
      </w:r>
    </w:p>
    <w:p w:rsidR="00374409" w:rsidRPr="00374409" w:rsidRDefault="00374409" w:rsidP="00374409">
      <w:pPr>
        <w:spacing w:after="0" w:line="240" w:lineRule="auto"/>
        <w:rPr>
          <w:rFonts w:ascii="Times New Roman" w:eastAsia="Times New Roman" w:hAnsi="Times New Roman" w:cs="Times New Roman"/>
          <w:sz w:val="24"/>
          <w:szCs w:val="24"/>
        </w:rPr>
      </w:pPr>
    </w:p>
    <w:p w:rsidR="00374409" w:rsidRPr="00374409" w:rsidRDefault="00374409" w:rsidP="00374409">
      <w:pPr>
        <w:spacing w:after="0" w:line="240" w:lineRule="auto"/>
        <w:jc w:val="both"/>
        <w:rPr>
          <w:rFonts w:ascii="Times New Roman" w:eastAsia="Times New Roman" w:hAnsi="Times New Roman" w:cs="Times New Roman"/>
          <w:sz w:val="24"/>
          <w:szCs w:val="24"/>
        </w:rPr>
      </w:pPr>
      <w:r w:rsidRPr="00374409">
        <w:rPr>
          <w:rFonts w:ascii="Times New Roman" w:eastAsia="Times New Roman" w:hAnsi="Times New Roman" w:cs="Times New Roman"/>
          <w:sz w:val="24"/>
          <w:szCs w:val="24"/>
        </w:rPr>
        <w:t xml:space="preserve">The </w:t>
      </w:r>
      <w:r w:rsidR="00B10A1A">
        <w:rPr>
          <w:rFonts w:ascii="Times New Roman" w:eastAsia="Times New Roman" w:hAnsi="Times New Roman" w:cs="Times New Roman"/>
          <w:sz w:val="24"/>
          <w:szCs w:val="24"/>
        </w:rPr>
        <w:t>Gonzales County Underground Water Conservation District (GCUWCD)</w:t>
      </w:r>
      <w:r w:rsidRPr="00374409">
        <w:rPr>
          <w:rFonts w:ascii="Times New Roman" w:eastAsia="Times New Roman" w:hAnsi="Times New Roman" w:cs="Times New Roman"/>
          <w:sz w:val="24"/>
          <w:szCs w:val="24"/>
        </w:rPr>
        <w:t xml:space="preserve"> is pleased to offer this public input on House Bill 30. The legislation directs the Texas Water Development Board (TWDB) to identify and designate brackish groundwater production zones and work with groundwater conservation districts (GCD’s) and stakeholders when identifying and designating brackish groundwater production zones. </w:t>
      </w:r>
    </w:p>
    <w:p w:rsidR="00374409" w:rsidRPr="00374409" w:rsidRDefault="00374409" w:rsidP="00374409">
      <w:pPr>
        <w:spacing w:after="0" w:line="240" w:lineRule="auto"/>
        <w:jc w:val="both"/>
        <w:rPr>
          <w:rFonts w:ascii="Times New Roman" w:eastAsia="Times New Roman" w:hAnsi="Times New Roman" w:cs="Times New Roman"/>
          <w:sz w:val="24"/>
          <w:szCs w:val="24"/>
        </w:rPr>
      </w:pPr>
    </w:p>
    <w:p w:rsidR="00374409" w:rsidRDefault="00374409" w:rsidP="00374409">
      <w:pPr>
        <w:spacing w:after="0" w:line="240" w:lineRule="auto"/>
        <w:jc w:val="both"/>
        <w:rPr>
          <w:rFonts w:ascii="Times New Roman" w:eastAsia="Times New Roman" w:hAnsi="Times New Roman" w:cs="Times New Roman"/>
          <w:sz w:val="24"/>
          <w:szCs w:val="24"/>
        </w:rPr>
      </w:pPr>
      <w:r w:rsidRPr="00374409">
        <w:rPr>
          <w:rFonts w:ascii="Times New Roman" w:eastAsia="Times New Roman" w:hAnsi="Times New Roman" w:cs="Times New Roman"/>
          <w:sz w:val="24"/>
          <w:szCs w:val="24"/>
        </w:rPr>
        <w:t xml:space="preserve">Dr. Robert Mace’s power point presentation at the public hearing on October 26, 2015 indicated that in the first year, the TWDB will focus on the Blaine, Carrizo-Wilcox, Gulf Coast and Rustler aquifers.  In year two, the focus would be on the Blossom, Nacatoch, and the Trinity aquifers. </w:t>
      </w:r>
    </w:p>
    <w:p w:rsidR="00F75027" w:rsidRDefault="00F75027" w:rsidP="00374409">
      <w:pPr>
        <w:spacing w:after="0" w:line="240" w:lineRule="auto"/>
        <w:jc w:val="both"/>
        <w:rPr>
          <w:rFonts w:ascii="Times New Roman" w:eastAsia="Times New Roman" w:hAnsi="Times New Roman" w:cs="Times New Roman"/>
          <w:sz w:val="24"/>
          <w:szCs w:val="24"/>
        </w:rPr>
      </w:pPr>
    </w:p>
    <w:p w:rsidR="00F75027" w:rsidRPr="00374409" w:rsidRDefault="00F75027" w:rsidP="00F75027">
      <w:pPr>
        <w:autoSpaceDE w:val="0"/>
        <w:autoSpaceDN w:val="0"/>
        <w:adjustRightInd w:val="0"/>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GCUWCD</w:t>
      </w:r>
      <w:r w:rsidRPr="00374409">
        <w:rPr>
          <w:rFonts w:ascii="Times New Roman" w:eastAsia="Times New Roman" w:hAnsi="Times New Roman" w:cs="Times New Roman"/>
          <w:color w:val="000000"/>
          <w:sz w:val="24"/>
          <w:szCs w:val="24"/>
        </w:rPr>
        <w:t xml:space="preserve"> respects that prior to identifying and designating brackish groundwater production zones, the TWDB is appropriately requesting input on the following questions from GCD’s and stakeholder interests:</w:t>
      </w:r>
    </w:p>
    <w:p w:rsidR="00F75027" w:rsidRPr="00374409" w:rsidRDefault="00F75027" w:rsidP="00F75027">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F75027" w:rsidRPr="00374409" w:rsidRDefault="00F75027" w:rsidP="00F75027">
      <w:pPr>
        <w:numPr>
          <w:ilvl w:val="0"/>
          <w:numId w:val="1"/>
        </w:numPr>
        <w:spacing w:after="0" w:line="240" w:lineRule="auto"/>
        <w:rPr>
          <w:rFonts w:ascii="Times New Roman" w:eastAsia="Calibri" w:hAnsi="Times New Roman" w:cs="Times New Roman"/>
          <w:color w:val="000000"/>
          <w:sz w:val="24"/>
          <w:szCs w:val="24"/>
        </w:rPr>
      </w:pPr>
      <w:r w:rsidRPr="00374409">
        <w:rPr>
          <w:rFonts w:ascii="Times New Roman" w:eastAsia="Calibri" w:hAnsi="Times New Roman" w:cs="Times New Roman"/>
          <w:color w:val="000000"/>
          <w:sz w:val="24"/>
          <w:szCs w:val="24"/>
        </w:rPr>
        <w:t>How should the TWDB define "significant impact”?</w:t>
      </w:r>
    </w:p>
    <w:p w:rsidR="00F75027" w:rsidRPr="00374409" w:rsidRDefault="00F75027" w:rsidP="00F75027">
      <w:pPr>
        <w:numPr>
          <w:ilvl w:val="0"/>
          <w:numId w:val="1"/>
        </w:numPr>
        <w:spacing w:after="0" w:line="240" w:lineRule="auto"/>
        <w:rPr>
          <w:rFonts w:ascii="Times New Roman" w:eastAsia="Calibri" w:hAnsi="Times New Roman" w:cs="Times New Roman"/>
          <w:color w:val="000000"/>
          <w:sz w:val="24"/>
          <w:szCs w:val="24"/>
        </w:rPr>
      </w:pPr>
      <w:r w:rsidRPr="00374409">
        <w:rPr>
          <w:rFonts w:ascii="Times New Roman" w:eastAsia="Calibri" w:hAnsi="Times New Roman" w:cs="Times New Roman"/>
          <w:color w:val="000000"/>
          <w:sz w:val="24"/>
          <w:szCs w:val="24"/>
        </w:rPr>
        <w:t>How should the TWDB define "separated by hydrogeological barriers sufficient to prevent significant impacts"?</w:t>
      </w:r>
    </w:p>
    <w:p w:rsidR="00F75027" w:rsidRPr="00374409" w:rsidRDefault="00F75027" w:rsidP="00F75027">
      <w:pPr>
        <w:numPr>
          <w:ilvl w:val="0"/>
          <w:numId w:val="1"/>
        </w:numPr>
        <w:spacing w:after="0" w:line="240" w:lineRule="auto"/>
        <w:rPr>
          <w:rFonts w:ascii="Times New Roman" w:eastAsia="Calibri" w:hAnsi="Times New Roman" w:cs="Times New Roman"/>
          <w:color w:val="000000"/>
          <w:sz w:val="24"/>
          <w:szCs w:val="24"/>
        </w:rPr>
      </w:pPr>
      <w:r w:rsidRPr="00374409">
        <w:rPr>
          <w:rFonts w:ascii="Times New Roman" w:eastAsia="Calibri" w:hAnsi="Times New Roman" w:cs="Times New Roman"/>
          <w:color w:val="000000"/>
          <w:sz w:val="24"/>
          <w:szCs w:val="24"/>
        </w:rPr>
        <w:t>How should the TWDB define significant source of water supply for municipal, domestic or agricultural purposes?; and</w:t>
      </w:r>
    </w:p>
    <w:p w:rsidR="00F75027" w:rsidRPr="00374409" w:rsidRDefault="00F75027" w:rsidP="00F75027">
      <w:pPr>
        <w:numPr>
          <w:ilvl w:val="0"/>
          <w:numId w:val="1"/>
        </w:numPr>
        <w:spacing w:after="0" w:line="240" w:lineRule="auto"/>
        <w:rPr>
          <w:rFonts w:ascii="Times New Roman" w:eastAsia="Calibri" w:hAnsi="Times New Roman" w:cs="Times New Roman"/>
          <w:color w:val="000000"/>
          <w:sz w:val="24"/>
          <w:szCs w:val="24"/>
        </w:rPr>
      </w:pPr>
      <w:r w:rsidRPr="00374409">
        <w:rPr>
          <w:rFonts w:ascii="Times New Roman" w:eastAsia="Calibri" w:hAnsi="Times New Roman" w:cs="Times New Roman"/>
          <w:color w:val="000000"/>
          <w:sz w:val="24"/>
          <w:szCs w:val="24"/>
        </w:rPr>
        <w:t>Is there a distance from existing use that a brackish groundwater production zone could be designated?</w:t>
      </w:r>
    </w:p>
    <w:p w:rsidR="00F75027" w:rsidRDefault="00F75027" w:rsidP="00374409">
      <w:pPr>
        <w:spacing w:after="0" w:line="240" w:lineRule="auto"/>
        <w:jc w:val="both"/>
        <w:rPr>
          <w:rFonts w:ascii="Times New Roman" w:eastAsia="Times New Roman" w:hAnsi="Times New Roman" w:cs="Times New Roman"/>
          <w:sz w:val="24"/>
          <w:szCs w:val="24"/>
        </w:rPr>
      </w:pPr>
    </w:p>
    <w:p w:rsidR="008C1976" w:rsidRDefault="008C1976" w:rsidP="0037440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GCUWCD manages the Carrizo-Wilcox, Queen City, Sparta, and </w:t>
      </w:r>
      <w:proofErr w:type="spellStart"/>
      <w:r>
        <w:rPr>
          <w:rFonts w:ascii="Times New Roman" w:eastAsia="Times New Roman" w:hAnsi="Times New Roman" w:cs="Times New Roman"/>
          <w:sz w:val="24"/>
          <w:szCs w:val="24"/>
        </w:rPr>
        <w:t>Yegua</w:t>
      </w:r>
      <w:proofErr w:type="spellEnd"/>
      <w:r>
        <w:rPr>
          <w:rFonts w:ascii="Times New Roman" w:eastAsia="Times New Roman" w:hAnsi="Times New Roman" w:cs="Times New Roman"/>
          <w:sz w:val="24"/>
          <w:szCs w:val="24"/>
        </w:rPr>
        <w:t>-Jackson Aquifers.  The</w:t>
      </w:r>
      <w:r w:rsidR="00F75027">
        <w:rPr>
          <w:rFonts w:ascii="Times New Roman" w:eastAsia="Times New Roman" w:hAnsi="Times New Roman" w:cs="Times New Roman"/>
          <w:sz w:val="24"/>
          <w:szCs w:val="24"/>
        </w:rPr>
        <w:t>se</w:t>
      </w:r>
      <w:r>
        <w:rPr>
          <w:rFonts w:ascii="Times New Roman" w:eastAsia="Times New Roman" w:hAnsi="Times New Roman" w:cs="Times New Roman"/>
          <w:sz w:val="24"/>
          <w:szCs w:val="24"/>
        </w:rPr>
        <w:t xml:space="preserve"> aquifers dip to the southeast at an angle slightly greater than the slope of the land surface and most thicken in the same direction.  Most of the formations have been cut by many normal faults </w:t>
      </w:r>
      <w:r w:rsidR="001F5782">
        <w:rPr>
          <w:rFonts w:ascii="Times New Roman" w:eastAsia="Times New Roman" w:hAnsi="Times New Roman" w:cs="Times New Roman"/>
          <w:sz w:val="24"/>
          <w:szCs w:val="24"/>
        </w:rPr>
        <w:t xml:space="preserve">that </w:t>
      </w:r>
      <w:r>
        <w:rPr>
          <w:rFonts w:ascii="Times New Roman" w:eastAsia="Times New Roman" w:hAnsi="Times New Roman" w:cs="Times New Roman"/>
          <w:sz w:val="24"/>
          <w:szCs w:val="24"/>
        </w:rPr>
        <w:t>trend generally northwestward, approximately parallel to the strike of the formations.  Monitoring of these aquifers by the TWDB and the GCUWCD since the 1950’s has n</w:t>
      </w:r>
      <w:r w:rsidR="009F6E7F">
        <w:rPr>
          <w:rFonts w:ascii="Times New Roman" w:eastAsia="Times New Roman" w:hAnsi="Times New Roman" w:cs="Times New Roman"/>
          <w:sz w:val="24"/>
          <w:szCs w:val="24"/>
        </w:rPr>
        <w:t xml:space="preserve">ot shown any significant </w:t>
      </w:r>
      <w:r w:rsidR="001F5782">
        <w:rPr>
          <w:rFonts w:ascii="Times New Roman" w:eastAsia="Times New Roman" w:hAnsi="Times New Roman" w:cs="Times New Roman"/>
          <w:sz w:val="24"/>
          <w:szCs w:val="24"/>
        </w:rPr>
        <w:t>e</w:t>
      </w:r>
      <w:r w:rsidR="009F6E7F">
        <w:rPr>
          <w:rFonts w:ascii="Times New Roman" w:eastAsia="Times New Roman" w:hAnsi="Times New Roman" w:cs="Times New Roman"/>
          <w:sz w:val="24"/>
          <w:szCs w:val="24"/>
        </w:rPr>
        <w:t xml:space="preserve">ffects from faulting </w:t>
      </w:r>
      <w:r>
        <w:rPr>
          <w:rFonts w:ascii="Times New Roman" w:eastAsia="Times New Roman" w:hAnsi="Times New Roman" w:cs="Times New Roman"/>
          <w:sz w:val="24"/>
          <w:szCs w:val="24"/>
        </w:rPr>
        <w:t>o</w:t>
      </w:r>
      <w:r w:rsidR="009F6E7F">
        <w:rPr>
          <w:rFonts w:ascii="Times New Roman" w:eastAsia="Times New Roman" w:hAnsi="Times New Roman" w:cs="Times New Roman"/>
          <w:sz w:val="24"/>
          <w:szCs w:val="24"/>
        </w:rPr>
        <w:t xml:space="preserve">n the occurrence of groundwater </w:t>
      </w:r>
      <w:r w:rsidR="001F5782">
        <w:rPr>
          <w:rFonts w:ascii="Times New Roman" w:eastAsia="Times New Roman" w:hAnsi="Times New Roman" w:cs="Times New Roman"/>
          <w:sz w:val="24"/>
          <w:szCs w:val="24"/>
        </w:rPr>
        <w:t>that</w:t>
      </w:r>
      <w:r w:rsidR="009F6E7F">
        <w:rPr>
          <w:rFonts w:ascii="Times New Roman" w:eastAsia="Times New Roman" w:hAnsi="Times New Roman" w:cs="Times New Roman"/>
          <w:sz w:val="24"/>
          <w:szCs w:val="24"/>
        </w:rPr>
        <w:t xml:space="preserve"> would indicate there are no </w:t>
      </w:r>
      <w:r w:rsidR="00FF7C6C">
        <w:rPr>
          <w:rFonts w:ascii="Times New Roman" w:eastAsia="Times New Roman" w:hAnsi="Times New Roman" w:cs="Times New Roman"/>
          <w:sz w:val="24"/>
          <w:szCs w:val="24"/>
        </w:rPr>
        <w:t xml:space="preserve">currently known </w:t>
      </w:r>
      <w:proofErr w:type="spellStart"/>
      <w:r w:rsidR="009F6E7F">
        <w:rPr>
          <w:rFonts w:ascii="Times New Roman" w:eastAsia="Times New Roman" w:hAnsi="Times New Roman" w:cs="Times New Roman"/>
          <w:sz w:val="24"/>
          <w:szCs w:val="24"/>
        </w:rPr>
        <w:t>hydrogeologic</w:t>
      </w:r>
      <w:proofErr w:type="spellEnd"/>
      <w:r w:rsidR="009F6E7F">
        <w:rPr>
          <w:rFonts w:ascii="Times New Roman" w:eastAsia="Times New Roman" w:hAnsi="Times New Roman" w:cs="Times New Roman"/>
          <w:sz w:val="24"/>
          <w:szCs w:val="24"/>
        </w:rPr>
        <w:t xml:space="preserve"> barriers between the fresh and brackish water areas </w:t>
      </w:r>
      <w:r w:rsidR="004F2027">
        <w:rPr>
          <w:rFonts w:ascii="Times New Roman" w:eastAsia="Times New Roman" w:hAnsi="Times New Roman" w:cs="Times New Roman"/>
          <w:sz w:val="24"/>
          <w:szCs w:val="24"/>
        </w:rPr>
        <w:t xml:space="preserve">within the aquifers </w:t>
      </w:r>
      <w:r w:rsidR="009F6E7F">
        <w:rPr>
          <w:rFonts w:ascii="Times New Roman" w:eastAsia="Times New Roman" w:hAnsi="Times New Roman" w:cs="Times New Roman"/>
          <w:sz w:val="24"/>
          <w:szCs w:val="24"/>
        </w:rPr>
        <w:t>sufficient to prevent significant impact.</w:t>
      </w:r>
    </w:p>
    <w:p w:rsidR="009F6E7F" w:rsidRDefault="009F6E7F" w:rsidP="00374409">
      <w:pPr>
        <w:spacing w:after="0" w:line="240" w:lineRule="auto"/>
        <w:jc w:val="both"/>
        <w:rPr>
          <w:rFonts w:ascii="Times New Roman" w:eastAsia="Times New Roman" w:hAnsi="Times New Roman" w:cs="Times New Roman"/>
          <w:sz w:val="24"/>
          <w:szCs w:val="24"/>
        </w:rPr>
      </w:pPr>
    </w:p>
    <w:p w:rsidR="009F6E7F" w:rsidRDefault="00CA24F3" w:rsidP="0037440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Groundwater Availability Models (GAMs) developed by the TWDB and used in developing desired future conditions for ou</w:t>
      </w:r>
      <w:r w:rsidR="007426B5">
        <w:rPr>
          <w:rFonts w:ascii="Times New Roman" w:eastAsia="Times New Roman" w:hAnsi="Times New Roman" w:cs="Times New Roman"/>
          <w:sz w:val="24"/>
          <w:szCs w:val="24"/>
        </w:rPr>
        <w:t>r district contains information on leakage between aquifers.  To be consistent with current on-going DFC development by Groundwater Management Areas (GMAs) we suggest using the information contained in the GAMs unless a GCD can provide more up to date information.  The limitations of the leakage estimates should be fully identified in the final study report.</w:t>
      </w:r>
      <w:r w:rsidR="00F75027">
        <w:rPr>
          <w:rFonts w:ascii="Times New Roman" w:eastAsia="Times New Roman" w:hAnsi="Times New Roman" w:cs="Times New Roman"/>
          <w:sz w:val="24"/>
          <w:szCs w:val="24"/>
        </w:rPr>
        <w:t xml:space="preserve">  The current GAM used by GMA 13 shows the existence of some degree of leakage between aquifers </w:t>
      </w:r>
      <w:r w:rsidR="008E3E5D">
        <w:rPr>
          <w:rFonts w:ascii="Times New Roman" w:eastAsia="Times New Roman" w:hAnsi="Times New Roman" w:cs="Times New Roman"/>
          <w:sz w:val="24"/>
          <w:szCs w:val="24"/>
        </w:rPr>
        <w:t xml:space="preserve">and the confining layers </w:t>
      </w:r>
      <w:r w:rsidR="00F75027">
        <w:rPr>
          <w:rFonts w:ascii="Times New Roman" w:eastAsia="Times New Roman" w:hAnsi="Times New Roman" w:cs="Times New Roman"/>
          <w:sz w:val="24"/>
          <w:szCs w:val="24"/>
        </w:rPr>
        <w:t>for each of our aquifers.</w:t>
      </w:r>
    </w:p>
    <w:p w:rsidR="00091C2A" w:rsidRDefault="00091C2A" w:rsidP="00374409">
      <w:pPr>
        <w:spacing w:after="0" w:line="240" w:lineRule="auto"/>
        <w:jc w:val="both"/>
        <w:rPr>
          <w:rFonts w:ascii="Times New Roman" w:eastAsia="Times New Roman" w:hAnsi="Times New Roman" w:cs="Times New Roman"/>
          <w:sz w:val="24"/>
          <w:szCs w:val="24"/>
        </w:rPr>
      </w:pPr>
    </w:p>
    <w:p w:rsidR="00091C2A" w:rsidRDefault="008E3E5D" w:rsidP="0037440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GCUWCD</w:t>
      </w:r>
      <w:r w:rsidR="00091C2A">
        <w:rPr>
          <w:rFonts w:ascii="Times New Roman" w:eastAsia="Times New Roman" w:hAnsi="Times New Roman" w:cs="Times New Roman"/>
          <w:sz w:val="24"/>
          <w:szCs w:val="24"/>
        </w:rPr>
        <w:t xml:space="preserve"> aquifers ha</w:t>
      </w:r>
      <w:r>
        <w:rPr>
          <w:rFonts w:ascii="Times New Roman" w:eastAsia="Times New Roman" w:hAnsi="Times New Roman" w:cs="Times New Roman"/>
          <w:sz w:val="24"/>
          <w:szCs w:val="24"/>
        </w:rPr>
        <w:t>ve</w:t>
      </w:r>
      <w:r w:rsidR="00091C2A">
        <w:rPr>
          <w:rFonts w:ascii="Times New Roman" w:eastAsia="Times New Roman" w:hAnsi="Times New Roman" w:cs="Times New Roman"/>
          <w:sz w:val="24"/>
          <w:szCs w:val="24"/>
        </w:rPr>
        <w:t xml:space="preserve"> both fresh water and brackish water usage documented by water quality sampling and analysis conducted by both the TWDB and the GCUWCD since the 1950’s. Brackish water use has increased recently in the Carrizo, Queen City, Sparta, and </w:t>
      </w:r>
      <w:proofErr w:type="spellStart"/>
      <w:r w:rsidR="00091C2A">
        <w:rPr>
          <w:rFonts w:ascii="Times New Roman" w:eastAsia="Times New Roman" w:hAnsi="Times New Roman" w:cs="Times New Roman"/>
          <w:sz w:val="24"/>
          <w:szCs w:val="24"/>
        </w:rPr>
        <w:t>Yegua</w:t>
      </w:r>
      <w:proofErr w:type="spellEnd"/>
      <w:r w:rsidR="00091C2A">
        <w:rPr>
          <w:rFonts w:ascii="Times New Roman" w:eastAsia="Times New Roman" w:hAnsi="Times New Roman" w:cs="Times New Roman"/>
          <w:sz w:val="24"/>
          <w:szCs w:val="24"/>
        </w:rPr>
        <w:t xml:space="preserve">-Jackson Aquifers due to the Eagle Ford Shale Play.  </w:t>
      </w:r>
      <w:r w:rsidR="00F6157D">
        <w:rPr>
          <w:rFonts w:ascii="Times New Roman" w:eastAsia="Times New Roman" w:hAnsi="Times New Roman" w:cs="Times New Roman"/>
          <w:sz w:val="24"/>
          <w:szCs w:val="24"/>
        </w:rPr>
        <w:t xml:space="preserve">The current use of brackish water in our aquifers </w:t>
      </w:r>
      <w:r w:rsidR="00FF7C6C">
        <w:rPr>
          <w:rFonts w:ascii="Times New Roman" w:eastAsia="Times New Roman" w:hAnsi="Times New Roman" w:cs="Times New Roman"/>
          <w:sz w:val="24"/>
          <w:szCs w:val="24"/>
        </w:rPr>
        <w:t xml:space="preserve">includes municipal supply, domestic supply, agricultural supply, and industrial/commercial supply.  The amount of brackish water use varies by aquifer, however, because it is currently in use means that it is a valuable source for existing water users and may </w:t>
      </w:r>
      <w:r w:rsidR="00D4728D">
        <w:rPr>
          <w:rFonts w:ascii="Times New Roman" w:eastAsia="Times New Roman" w:hAnsi="Times New Roman" w:cs="Times New Roman"/>
          <w:sz w:val="24"/>
          <w:szCs w:val="24"/>
        </w:rPr>
        <w:t>become a more important source of water in the future as the State’s water supplies come under more pressure due to increasing population growth.  What some may identify as an insignificant source of water supply today may be extremely significant in the future.  The TWDB should define significant source of water supply as any water supply that is currently being used for municipal, domestic, or agricultural purposes.</w:t>
      </w:r>
    </w:p>
    <w:p w:rsidR="00056F1C" w:rsidRDefault="00056F1C" w:rsidP="00374409">
      <w:pPr>
        <w:spacing w:after="0" w:line="240" w:lineRule="auto"/>
        <w:jc w:val="both"/>
        <w:rPr>
          <w:rFonts w:ascii="Times New Roman" w:eastAsia="Times New Roman" w:hAnsi="Times New Roman" w:cs="Times New Roman"/>
          <w:sz w:val="24"/>
          <w:szCs w:val="24"/>
        </w:rPr>
      </w:pPr>
    </w:p>
    <w:p w:rsidR="008E3E5D" w:rsidRDefault="008E3E5D" w:rsidP="008E3E5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definition of “significant impact” for the aquifers in our district, which have no currently known </w:t>
      </w:r>
      <w:proofErr w:type="spellStart"/>
      <w:r>
        <w:rPr>
          <w:rFonts w:ascii="Times New Roman" w:eastAsia="Times New Roman" w:hAnsi="Times New Roman" w:cs="Times New Roman"/>
          <w:sz w:val="24"/>
          <w:szCs w:val="24"/>
        </w:rPr>
        <w:t>hydrogeologic</w:t>
      </w:r>
      <w:proofErr w:type="spellEnd"/>
      <w:r>
        <w:rPr>
          <w:rFonts w:ascii="Times New Roman" w:eastAsia="Times New Roman" w:hAnsi="Times New Roman" w:cs="Times New Roman"/>
          <w:sz w:val="24"/>
          <w:szCs w:val="24"/>
        </w:rPr>
        <w:t xml:space="preserve"> barriers between the fresh and brackish water and which according to the GAM show leakage into the confining layers would be “any impact” from a designated brackish zone on a fresh water zone.  Any amount of groundwater use from a designated brackish zone that impacts a fresh water zone with designated DFCs would improperly take protection of private property rights and historic use from current well owners and operators thus negating all protection and conservation of the resource within GCUWCD.  The fresh water and brackish water in aquifers that are not separated by </w:t>
      </w:r>
      <w:proofErr w:type="spellStart"/>
      <w:r>
        <w:rPr>
          <w:rFonts w:ascii="Times New Roman" w:eastAsia="Times New Roman" w:hAnsi="Times New Roman" w:cs="Times New Roman"/>
          <w:sz w:val="24"/>
          <w:szCs w:val="24"/>
        </w:rPr>
        <w:t>hydrogeologic</w:t>
      </w:r>
      <w:proofErr w:type="spellEnd"/>
      <w:r>
        <w:rPr>
          <w:rFonts w:ascii="Times New Roman" w:eastAsia="Times New Roman" w:hAnsi="Times New Roman" w:cs="Times New Roman"/>
          <w:sz w:val="24"/>
          <w:szCs w:val="24"/>
        </w:rPr>
        <w:t xml:space="preserve"> barriers should be regulated as a single source of groundwater, as they currently are in the GCUWCD, with no areas of the aquifer receiving “special relaxed oversight” and/or “untethered use”. </w:t>
      </w:r>
    </w:p>
    <w:p w:rsidR="008E3E5D" w:rsidRDefault="008E3E5D" w:rsidP="00374409">
      <w:pPr>
        <w:spacing w:after="0" w:line="240" w:lineRule="auto"/>
        <w:jc w:val="both"/>
        <w:rPr>
          <w:rFonts w:ascii="Times New Roman" w:eastAsia="Times New Roman" w:hAnsi="Times New Roman" w:cs="Times New Roman"/>
          <w:sz w:val="24"/>
          <w:szCs w:val="24"/>
        </w:rPr>
      </w:pPr>
    </w:p>
    <w:p w:rsidR="001F5782" w:rsidRDefault="001F5782" w:rsidP="0037440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 a recent GCUWCD Board Workshop on brackish water management zones three different hydrogeologists testified that groundwater production from the brackish portions of the Carrizo-Wilcox Aquifers would impact aquifer levels exactly like groundwater production from areas containing fresh water, and that over time any withdrawals from the brackish portions would impact aquifer levels in the fresh water areas and recharge zone.  Their testimony also stated that the qual</w:t>
      </w:r>
      <w:r w:rsidR="00CD4894">
        <w:rPr>
          <w:rFonts w:ascii="Times New Roman" w:eastAsia="Times New Roman" w:hAnsi="Times New Roman" w:cs="Times New Roman"/>
          <w:sz w:val="24"/>
          <w:szCs w:val="24"/>
        </w:rPr>
        <w:t>ity of the groundwater produced does not make any difference on the cone of depression of the well or the overall impact on aquifer levels.</w:t>
      </w:r>
    </w:p>
    <w:p w:rsidR="001F5782" w:rsidRDefault="001F5782" w:rsidP="00374409">
      <w:pPr>
        <w:spacing w:after="0" w:line="240" w:lineRule="auto"/>
        <w:jc w:val="both"/>
        <w:rPr>
          <w:rFonts w:ascii="Times New Roman" w:eastAsia="Times New Roman" w:hAnsi="Times New Roman" w:cs="Times New Roman"/>
          <w:sz w:val="24"/>
          <w:szCs w:val="24"/>
        </w:rPr>
      </w:pPr>
    </w:p>
    <w:p w:rsidR="00374409" w:rsidRPr="00374409" w:rsidRDefault="00B10A1A" w:rsidP="0037440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GCUWCD</w:t>
      </w:r>
      <w:r w:rsidR="00374409" w:rsidRPr="00374409">
        <w:rPr>
          <w:rFonts w:ascii="Times New Roman" w:eastAsia="Times New Roman" w:hAnsi="Times New Roman" w:cs="Times New Roman"/>
          <w:sz w:val="24"/>
          <w:szCs w:val="24"/>
        </w:rPr>
        <w:t xml:space="preserve"> is willing and able to support our comments with the best availab</w:t>
      </w:r>
      <w:r w:rsidR="001F5782">
        <w:rPr>
          <w:rFonts w:ascii="Times New Roman" w:eastAsia="Times New Roman" w:hAnsi="Times New Roman" w:cs="Times New Roman"/>
          <w:sz w:val="24"/>
          <w:szCs w:val="24"/>
        </w:rPr>
        <w:t>le scientific research</w:t>
      </w:r>
      <w:r w:rsidR="00374409" w:rsidRPr="00374409">
        <w:rPr>
          <w:rFonts w:ascii="Times New Roman" w:eastAsia="Times New Roman" w:hAnsi="Times New Roman" w:cs="Times New Roman"/>
          <w:sz w:val="24"/>
          <w:szCs w:val="24"/>
        </w:rPr>
        <w:t xml:space="preserve">, in-house water quality screening, source aquifer status reports, annual production reports by permit holders, and exempt estimates of use for the last five years. </w:t>
      </w:r>
      <w:r>
        <w:rPr>
          <w:rFonts w:ascii="Times New Roman" w:eastAsia="Times New Roman" w:hAnsi="Times New Roman" w:cs="Times New Roman"/>
          <w:sz w:val="24"/>
          <w:szCs w:val="24"/>
        </w:rPr>
        <w:t>GCUWCD</w:t>
      </w:r>
      <w:r w:rsidR="00374409" w:rsidRPr="00374409">
        <w:rPr>
          <w:rFonts w:ascii="Times New Roman" w:eastAsia="Times New Roman" w:hAnsi="Times New Roman" w:cs="Times New Roman"/>
          <w:sz w:val="24"/>
          <w:szCs w:val="24"/>
        </w:rPr>
        <w:t xml:space="preserve"> believes that we have sufficient evidence necessary to assist the TWDB to better understand that </w:t>
      </w:r>
      <w:r w:rsidR="0085458F">
        <w:rPr>
          <w:rFonts w:ascii="Times New Roman" w:eastAsia="Times New Roman" w:hAnsi="Times New Roman" w:cs="Times New Roman"/>
          <w:sz w:val="24"/>
          <w:szCs w:val="24"/>
        </w:rPr>
        <w:t xml:space="preserve">the </w:t>
      </w:r>
      <w:r w:rsidR="00374409" w:rsidRPr="00374409">
        <w:rPr>
          <w:rFonts w:ascii="Times New Roman" w:eastAsia="Times New Roman" w:hAnsi="Times New Roman" w:cs="Times New Roman"/>
          <w:sz w:val="24"/>
          <w:szCs w:val="24"/>
        </w:rPr>
        <w:t>aquifers in our jurisdiction are a “</w:t>
      </w:r>
      <w:r w:rsidR="00374409" w:rsidRPr="00374409">
        <w:rPr>
          <w:rFonts w:ascii="Times New Roman" w:eastAsia="Times New Roman" w:hAnsi="Times New Roman" w:cs="Times New Roman"/>
          <w:i/>
          <w:sz w:val="24"/>
          <w:szCs w:val="24"/>
        </w:rPr>
        <w:t>significant source</w:t>
      </w:r>
      <w:r w:rsidR="00374409" w:rsidRPr="00374409">
        <w:rPr>
          <w:rFonts w:ascii="Times New Roman" w:eastAsia="Times New Roman" w:hAnsi="Times New Roman" w:cs="Times New Roman"/>
          <w:sz w:val="24"/>
          <w:szCs w:val="24"/>
        </w:rPr>
        <w:t xml:space="preserve">” of groundwater for beneficial use within our jurisdiction. </w:t>
      </w:r>
    </w:p>
    <w:p w:rsidR="00374409" w:rsidRDefault="00374409" w:rsidP="00374409">
      <w:pPr>
        <w:spacing w:after="0" w:line="240" w:lineRule="auto"/>
        <w:jc w:val="both"/>
        <w:rPr>
          <w:rFonts w:ascii="Times New Roman" w:eastAsia="Times New Roman" w:hAnsi="Times New Roman" w:cs="Times New Roman"/>
          <w:color w:val="000000"/>
          <w:sz w:val="24"/>
          <w:szCs w:val="24"/>
        </w:rPr>
      </w:pPr>
      <w:bookmarkStart w:id="0" w:name="_GoBack"/>
      <w:bookmarkEnd w:id="0"/>
      <w:r w:rsidRPr="00374409">
        <w:rPr>
          <w:rFonts w:ascii="Times New Roman" w:eastAsia="Times New Roman" w:hAnsi="Times New Roman" w:cs="Times New Roman"/>
          <w:color w:val="000000"/>
          <w:sz w:val="24"/>
          <w:szCs w:val="24"/>
        </w:rPr>
        <w:lastRenderedPageBreak/>
        <w:t xml:space="preserve">Because of the known differences between aquifer conditions and regional characteristics across the state, and the subjectivity of the aforementioned questions, </w:t>
      </w:r>
      <w:r w:rsidR="00B10A1A">
        <w:rPr>
          <w:rFonts w:ascii="Times New Roman" w:eastAsia="Times New Roman" w:hAnsi="Times New Roman" w:cs="Times New Roman"/>
          <w:color w:val="000000"/>
          <w:sz w:val="24"/>
          <w:szCs w:val="24"/>
        </w:rPr>
        <w:t>GCUWCD</w:t>
      </w:r>
      <w:r w:rsidRPr="00374409">
        <w:rPr>
          <w:rFonts w:ascii="Times New Roman" w:eastAsia="Times New Roman" w:hAnsi="Times New Roman" w:cs="Times New Roman"/>
          <w:color w:val="000000"/>
          <w:sz w:val="24"/>
          <w:szCs w:val="24"/>
        </w:rPr>
        <w:t xml:space="preserve"> </w:t>
      </w:r>
      <w:r w:rsidRPr="00374409">
        <w:rPr>
          <w:rFonts w:ascii="Times New Roman" w:eastAsia="Times New Roman" w:hAnsi="Times New Roman" w:cs="Times New Roman"/>
          <w:color w:val="000000"/>
          <w:sz w:val="24"/>
          <w:szCs w:val="24"/>
          <w:u w:val="single"/>
        </w:rPr>
        <w:t>strongly</w:t>
      </w:r>
      <w:r w:rsidRPr="00374409">
        <w:rPr>
          <w:rFonts w:ascii="Times New Roman" w:eastAsia="Times New Roman" w:hAnsi="Times New Roman" w:cs="Times New Roman"/>
          <w:color w:val="000000"/>
          <w:sz w:val="24"/>
          <w:szCs w:val="24"/>
        </w:rPr>
        <w:t xml:space="preserve"> recommends the TWDB seek to define of what constitutes a “</w:t>
      </w:r>
      <w:r w:rsidRPr="00374409">
        <w:rPr>
          <w:rFonts w:ascii="Times New Roman" w:eastAsia="Times New Roman" w:hAnsi="Times New Roman" w:cs="Times New Roman"/>
          <w:i/>
          <w:color w:val="000000"/>
          <w:sz w:val="24"/>
          <w:szCs w:val="24"/>
        </w:rPr>
        <w:t>significant impact</w:t>
      </w:r>
      <w:r w:rsidRPr="00374409">
        <w:rPr>
          <w:rFonts w:ascii="Times New Roman" w:eastAsia="Times New Roman" w:hAnsi="Times New Roman" w:cs="Times New Roman"/>
          <w:color w:val="000000"/>
          <w:sz w:val="24"/>
          <w:szCs w:val="24"/>
        </w:rPr>
        <w:t>”, “</w:t>
      </w:r>
      <w:r w:rsidRPr="00374409">
        <w:rPr>
          <w:rFonts w:ascii="Times New Roman" w:eastAsia="Times New Roman" w:hAnsi="Times New Roman" w:cs="Times New Roman"/>
          <w:i/>
          <w:color w:val="000000"/>
          <w:sz w:val="24"/>
          <w:szCs w:val="24"/>
        </w:rPr>
        <w:t>significant source</w:t>
      </w:r>
      <w:r w:rsidRPr="00374409">
        <w:rPr>
          <w:rFonts w:ascii="Times New Roman" w:eastAsia="Times New Roman" w:hAnsi="Times New Roman" w:cs="Times New Roman"/>
          <w:color w:val="000000"/>
          <w:sz w:val="24"/>
          <w:szCs w:val="24"/>
        </w:rPr>
        <w:t>”, or a sufficient “</w:t>
      </w:r>
      <w:r w:rsidRPr="00374409">
        <w:rPr>
          <w:rFonts w:ascii="Times New Roman" w:eastAsia="Times New Roman" w:hAnsi="Times New Roman" w:cs="Times New Roman"/>
          <w:i/>
          <w:color w:val="000000"/>
          <w:sz w:val="24"/>
          <w:szCs w:val="24"/>
        </w:rPr>
        <w:t>definition of separation of a hydrogeological barrier</w:t>
      </w:r>
      <w:r w:rsidRPr="00374409">
        <w:rPr>
          <w:rFonts w:ascii="Times New Roman" w:eastAsia="Times New Roman" w:hAnsi="Times New Roman" w:cs="Times New Roman"/>
          <w:color w:val="000000"/>
          <w:sz w:val="24"/>
          <w:szCs w:val="24"/>
        </w:rPr>
        <w:t xml:space="preserve">” on an area by area basis with </w:t>
      </w:r>
      <w:r w:rsidRPr="00374409">
        <w:rPr>
          <w:rFonts w:ascii="Times New Roman" w:eastAsia="Times New Roman" w:hAnsi="Times New Roman" w:cs="Times New Roman"/>
          <w:color w:val="000000"/>
          <w:sz w:val="24"/>
          <w:szCs w:val="24"/>
          <w:u w:val="single"/>
        </w:rPr>
        <w:t>direct</w:t>
      </w:r>
      <w:r w:rsidRPr="00374409">
        <w:rPr>
          <w:rFonts w:ascii="Times New Roman" w:eastAsia="Times New Roman" w:hAnsi="Times New Roman" w:cs="Times New Roman"/>
          <w:color w:val="000000"/>
          <w:sz w:val="24"/>
          <w:szCs w:val="24"/>
        </w:rPr>
        <w:t xml:space="preserve"> input from local GCD’s as well as local municipal, rural water suppliers, domestic and agricultural stakeholders located within a proposed brackish groundwater zone prior to final designation. We adamantly believe there is not a one-size fits all definition to the proposed questions.</w:t>
      </w:r>
    </w:p>
    <w:p w:rsidR="001F5782" w:rsidRPr="00374409" w:rsidRDefault="001F5782" w:rsidP="00374409">
      <w:pPr>
        <w:spacing w:after="0" w:line="240" w:lineRule="auto"/>
        <w:jc w:val="both"/>
        <w:rPr>
          <w:rFonts w:ascii="Times New Roman" w:eastAsia="Times New Roman" w:hAnsi="Times New Roman" w:cs="Times New Roman"/>
          <w:color w:val="000000"/>
          <w:sz w:val="24"/>
          <w:szCs w:val="24"/>
        </w:rPr>
      </w:pPr>
    </w:p>
    <w:p w:rsidR="00374409" w:rsidRPr="00374409" w:rsidRDefault="00374409" w:rsidP="00374409">
      <w:pPr>
        <w:spacing w:after="0" w:line="240" w:lineRule="auto"/>
        <w:jc w:val="both"/>
        <w:rPr>
          <w:rFonts w:ascii="Times New Roman" w:eastAsia="Times New Roman" w:hAnsi="Times New Roman" w:cs="Times New Roman"/>
          <w:color w:val="000000"/>
          <w:sz w:val="24"/>
          <w:szCs w:val="24"/>
        </w:rPr>
      </w:pPr>
      <w:r w:rsidRPr="00374409">
        <w:rPr>
          <w:rFonts w:ascii="Times New Roman" w:eastAsia="Times New Roman" w:hAnsi="Times New Roman" w:cs="Times New Roman"/>
          <w:color w:val="000000"/>
          <w:sz w:val="24"/>
          <w:szCs w:val="24"/>
        </w:rPr>
        <w:t xml:space="preserve">Additionally, </w:t>
      </w:r>
      <w:r w:rsidR="00B10A1A">
        <w:rPr>
          <w:rFonts w:ascii="Times New Roman" w:eastAsia="Times New Roman" w:hAnsi="Times New Roman" w:cs="Times New Roman"/>
          <w:color w:val="000000"/>
          <w:sz w:val="24"/>
          <w:szCs w:val="24"/>
        </w:rPr>
        <w:t>the GCUWCD</w:t>
      </w:r>
      <w:r w:rsidRPr="00374409">
        <w:rPr>
          <w:rFonts w:ascii="Times New Roman" w:eastAsia="Times New Roman" w:hAnsi="Times New Roman" w:cs="Times New Roman"/>
          <w:color w:val="000000"/>
          <w:sz w:val="24"/>
          <w:szCs w:val="24"/>
        </w:rPr>
        <w:t xml:space="preserve"> </w:t>
      </w:r>
      <w:r w:rsidRPr="00374409">
        <w:rPr>
          <w:rFonts w:ascii="Times New Roman" w:eastAsia="Times New Roman" w:hAnsi="Times New Roman" w:cs="Times New Roman"/>
          <w:color w:val="000000"/>
          <w:sz w:val="24"/>
          <w:szCs w:val="24"/>
          <w:u w:val="single"/>
        </w:rPr>
        <w:t>strongly</w:t>
      </w:r>
      <w:r w:rsidRPr="00374409">
        <w:rPr>
          <w:rFonts w:ascii="Times New Roman" w:eastAsia="Times New Roman" w:hAnsi="Times New Roman" w:cs="Times New Roman"/>
          <w:color w:val="000000"/>
          <w:sz w:val="24"/>
          <w:szCs w:val="24"/>
        </w:rPr>
        <w:t xml:space="preserve"> recommends the TWDB hold a minimum of two stakeholder meetings in each of the proposed areas prior to the final designation of a zone in order to receive local input from residents and landowners as it relates to the defining questions, the economic impact of designating a brackish groundwater production zone and the impact if any to private property rights.</w:t>
      </w:r>
    </w:p>
    <w:p w:rsidR="00374409" w:rsidRPr="00374409" w:rsidRDefault="00374409" w:rsidP="00374409">
      <w:pPr>
        <w:spacing w:after="0" w:line="240" w:lineRule="auto"/>
        <w:jc w:val="both"/>
        <w:rPr>
          <w:rFonts w:ascii="Times New Roman" w:eastAsia="Times New Roman" w:hAnsi="Times New Roman" w:cs="Times New Roman"/>
          <w:sz w:val="24"/>
          <w:szCs w:val="24"/>
        </w:rPr>
      </w:pPr>
    </w:p>
    <w:p w:rsidR="00374409" w:rsidRPr="00374409" w:rsidRDefault="00374409" w:rsidP="00374409">
      <w:pPr>
        <w:spacing w:after="0" w:line="240" w:lineRule="auto"/>
        <w:jc w:val="both"/>
        <w:rPr>
          <w:rFonts w:ascii="Times New Roman" w:eastAsia="Times New Roman" w:hAnsi="Times New Roman" w:cs="Times New Roman"/>
          <w:sz w:val="24"/>
          <w:szCs w:val="24"/>
        </w:rPr>
      </w:pPr>
      <w:r w:rsidRPr="00374409">
        <w:rPr>
          <w:rFonts w:ascii="Times New Roman" w:eastAsia="Times New Roman" w:hAnsi="Times New Roman" w:cs="Times New Roman"/>
          <w:color w:val="000000"/>
          <w:sz w:val="24"/>
          <w:szCs w:val="24"/>
        </w:rPr>
        <w:t>We believe if the TWDB reaches out to local residents and landowners in their respective home areas, and afford them the ability to provide input in the identification and designation process of brackish groundwater production zones, this will incentivize the utilization of brackish groundwater furthermore reducing the use of fresh groundwater resources.</w:t>
      </w:r>
    </w:p>
    <w:p w:rsidR="00374409" w:rsidRPr="00374409" w:rsidRDefault="00374409" w:rsidP="00374409">
      <w:pPr>
        <w:spacing w:after="0" w:line="240" w:lineRule="auto"/>
        <w:jc w:val="both"/>
        <w:rPr>
          <w:rFonts w:ascii="Times New Roman" w:eastAsia="Times New Roman" w:hAnsi="Times New Roman" w:cs="Times New Roman"/>
          <w:sz w:val="24"/>
          <w:szCs w:val="24"/>
        </w:rPr>
      </w:pPr>
    </w:p>
    <w:p w:rsidR="00374409" w:rsidRPr="00374409" w:rsidRDefault="00B10A1A" w:rsidP="0037440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GCUWCD</w:t>
      </w:r>
      <w:r w:rsidR="00374409" w:rsidRPr="00374409">
        <w:rPr>
          <w:rFonts w:ascii="Times New Roman" w:eastAsia="Times New Roman" w:hAnsi="Times New Roman" w:cs="Times New Roman"/>
          <w:sz w:val="24"/>
          <w:szCs w:val="24"/>
        </w:rPr>
        <w:t xml:space="preserve"> sees the added importance of TWDB effectively reaching out to GCD’s for groundwater information </w:t>
      </w:r>
      <w:r w:rsidR="001F5782">
        <w:rPr>
          <w:rFonts w:ascii="Times New Roman" w:eastAsia="Times New Roman" w:hAnsi="Times New Roman" w:cs="Times New Roman"/>
          <w:sz w:val="24"/>
          <w:szCs w:val="24"/>
        </w:rPr>
        <w:t>that may</w:t>
      </w:r>
      <w:r w:rsidR="00374409" w:rsidRPr="00374409">
        <w:rPr>
          <w:rFonts w:ascii="Times New Roman" w:eastAsia="Times New Roman" w:hAnsi="Times New Roman" w:cs="Times New Roman"/>
          <w:sz w:val="24"/>
          <w:szCs w:val="24"/>
        </w:rPr>
        <w:t xml:space="preserve"> be incorporated in the facilitation of identifying and designating brackish groundwater production zones. GCD’s have a wealth of data and information, evidenced by our submittals with these comments. We </w:t>
      </w:r>
      <w:r w:rsidR="00374409" w:rsidRPr="00374409">
        <w:rPr>
          <w:rFonts w:ascii="Times New Roman" w:eastAsia="Times New Roman" w:hAnsi="Times New Roman" w:cs="Times New Roman"/>
          <w:sz w:val="24"/>
          <w:szCs w:val="24"/>
          <w:u w:val="single"/>
        </w:rPr>
        <w:t>strongly</w:t>
      </w:r>
      <w:r w:rsidR="00374409" w:rsidRPr="00374409">
        <w:rPr>
          <w:rFonts w:ascii="Times New Roman" w:eastAsia="Times New Roman" w:hAnsi="Times New Roman" w:cs="Times New Roman"/>
          <w:sz w:val="24"/>
          <w:szCs w:val="24"/>
        </w:rPr>
        <w:t xml:space="preserve"> recommend the TWDB utilize direct input from local GCD’s and input from local stakeholder groups as they work to identify and designate brackish groundwater production zones. </w:t>
      </w:r>
    </w:p>
    <w:p w:rsidR="00374409" w:rsidRPr="00374409" w:rsidRDefault="00374409" w:rsidP="00374409">
      <w:pPr>
        <w:spacing w:after="0" w:line="240" w:lineRule="auto"/>
        <w:jc w:val="both"/>
        <w:rPr>
          <w:rFonts w:ascii="Times New Roman" w:eastAsia="Times New Roman" w:hAnsi="Times New Roman" w:cs="Times New Roman"/>
          <w:sz w:val="24"/>
          <w:szCs w:val="24"/>
        </w:rPr>
      </w:pPr>
    </w:p>
    <w:p w:rsidR="00374409" w:rsidRPr="00374409" w:rsidRDefault="00374409" w:rsidP="00374409">
      <w:pPr>
        <w:spacing w:after="0" w:line="240" w:lineRule="auto"/>
        <w:jc w:val="both"/>
        <w:rPr>
          <w:rFonts w:ascii="Times New Roman" w:eastAsia="Times New Roman" w:hAnsi="Times New Roman" w:cs="Times New Roman"/>
          <w:sz w:val="24"/>
          <w:szCs w:val="24"/>
        </w:rPr>
      </w:pPr>
      <w:r w:rsidRPr="00374409">
        <w:rPr>
          <w:rFonts w:ascii="Times New Roman" w:eastAsia="Times New Roman" w:hAnsi="Times New Roman" w:cs="Times New Roman"/>
          <w:sz w:val="24"/>
          <w:szCs w:val="24"/>
        </w:rPr>
        <w:t>Thank you for the opportunity and your consideration of these comments. If you have any questions please contact us.</w:t>
      </w:r>
    </w:p>
    <w:p w:rsidR="00374409" w:rsidRPr="004C50A3" w:rsidRDefault="00374409" w:rsidP="00374409">
      <w:pPr>
        <w:spacing w:after="0" w:line="240" w:lineRule="auto"/>
        <w:rPr>
          <w:rFonts w:ascii="Times New Roman" w:eastAsia="Times New Roman" w:hAnsi="Times New Roman" w:cs="Times New Roman"/>
          <w:sz w:val="24"/>
          <w:szCs w:val="24"/>
        </w:rPr>
      </w:pPr>
    </w:p>
    <w:p w:rsidR="00374409" w:rsidRPr="004C50A3" w:rsidRDefault="00374409" w:rsidP="00374409">
      <w:pPr>
        <w:spacing w:after="0" w:line="240" w:lineRule="auto"/>
        <w:rPr>
          <w:rFonts w:ascii="Times New Roman" w:eastAsia="Times New Roman" w:hAnsi="Times New Roman" w:cs="Times New Roman"/>
          <w:sz w:val="24"/>
          <w:szCs w:val="24"/>
        </w:rPr>
      </w:pPr>
      <w:r w:rsidRPr="004C50A3">
        <w:rPr>
          <w:rFonts w:ascii="Times New Roman" w:eastAsia="Times New Roman" w:hAnsi="Times New Roman" w:cs="Times New Roman"/>
          <w:sz w:val="24"/>
          <w:szCs w:val="24"/>
        </w:rPr>
        <w:t>Sincerely,</w:t>
      </w:r>
    </w:p>
    <w:p w:rsidR="004C50A3" w:rsidRPr="004C50A3" w:rsidRDefault="004C50A3">
      <w:pPr>
        <w:rPr>
          <w:rFonts w:ascii="Times New Roman" w:hAnsi="Times New Roman" w:cs="Times New Roman"/>
          <w:sz w:val="16"/>
          <w:szCs w:val="16"/>
        </w:rPr>
      </w:pPr>
    </w:p>
    <w:p w:rsidR="004C50A3" w:rsidRPr="004C50A3" w:rsidRDefault="004C50A3">
      <w:pPr>
        <w:rPr>
          <w:rFonts w:ascii="Brush Script MT" w:hAnsi="Brush Script MT" w:cs="Times New Roman"/>
          <w:color w:val="4472C4" w:themeColor="accent5"/>
          <w:sz w:val="40"/>
          <w:szCs w:val="40"/>
        </w:rPr>
      </w:pPr>
      <w:r w:rsidRPr="004C50A3">
        <w:rPr>
          <w:rFonts w:ascii="Brush Script MT" w:hAnsi="Brush Script MT" w:cs="Times New Roman"/>
          <w:color w:val="4472C4" w:themeColor="accent5"/>
          <w:sz w:val="40"/>
          <w:szCs w:val="40"/>
        </w:rPr>
        <w:t>Greg Sengelmann</w:t>
      </w:r>
    </w:p>
    <w:p w:rsidR="00374409" w:rsidRDefault="004C50A3">
      <w:r w:rsidRPr="004C50A3">
        <w:rPr>
          <w:rFonts w:ascii="Times New Roman" w:hAnsi="Times New Roman" w:cs="Times New Roman"/>
          <w:sz w:val="24"/>
          <w:szCs w:val="24"/>
        </w:rPr>
        <w:t>Greg Sengelmann, P.G.</w:t>
      </w:r>
      <w:r w:rsidR="00374409" w:rsidRPr="004C50A3">
        <w:rPr>
          <w:rFonts w:ascii="Times New Roman" w:hAnsi="Times New Roman" w:cs="Times New Roman"/>
          <w:sz w:val="24"/>
          <w:szCs w:val="24"/>
        </w:rPr>
        <w:tab/>
      </w:r>
      <w:r w:rsidR="00374409" w:rsidRPr="004C50A3">
        <w:rPr>
          <w:rFonts w:ascii="Times New Roman" w:hAnsi="Times New Roman" w:cs="Times New Roman"/>
          <w:sz w:val="24"/>
          <w:szCs w:val="24"/>
        </w:rPr>
        <w:tab/>
      </w:r>
      <w:r w:rsidR="00374409">
        <w:tab/>
      </w:r>
      <w:r w:rsidR="00374409">
        <w:tab/>
      </w:r>
      <w:r w:rsidR="00374409">
        <w:tab/>
      </w:r>
      <w:r w:rsidR="00374409">
        <w:tab/>
      </w:r>
      <w:r w:rsidR="00374409">
        <w:tab/>
      </w:r>
      <w:r w:rsidR="00374409">
        <w:tab/>
      </w:r>
      <w:r w:rsidR="00374409">
        <w:tab/>
      </w:r>
      <w:r w:rsidR="00374409">
        <w:tab/>
      </w:r>
    </w:p>
    <w:sectPr w:rsidR="00374409" w:rsidSect="004C50A3">
      <w:headerReference w:type="default" r:id="rId9"/>
      <w:footerReference w:type="default" r:id="rId10"/>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799" w:rsidRDefault="003C1799" w:rsidP="004C50A3">
      <w:pPr>
        <w:spacing w:after="0" w:line="240" w:lineRule="auto"/>
      </w:pPr>
      <w:r>
        <w:separator/>
      </w:r>
    </w:p>
  </w:endnote>
  <w:endnote w:type="continuationSeparator" w:id="0">
    <w:p w:rsidR="003C1799" w:rsidRDefault="003C1799" w:rsidP="004C50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0A3" w:rsidRDefault="004C50A3" w:rsidP="004C50A3">
    <w:pPr>
      <w:pStyle w:val="Footer"/>
      <w:rPr>
        <w:sz w:val="20"/>
        <w:szCs w:val="20"/>
      </w:rPr>
    </w:pPr>
    <w:r>
      <w:rPr>
        <w:sz w:val="20"/>
        <w:szCs w:val="20"/>
      </w:rPr>
      <w:t xml:space="preserve">                  </w:t>
    </w:r>
  </w:p>
  <w:p w:rsidR="004C50A3" w:rsidRDefault="004C50A3" w:rsidP="004C50A3">
    <w:pPr>
      <w:pStyle w:val="Footer"/>
      <w:pBdr>
        <w:bottom w:val="single" w:sz="4" w:space="1" w:color="auto"/>
      </w:pBdr>
      <w:rPr>
        <w:sz w:val="20"/>
        <w:szCs w:val="20"/>
      </w:rPr>
    </w:pPr>
  </w:p>
  <w:p w:rsidR="004C50A3" w:rsidRPr="004C50A3" w:rsidRDefault="004C50A3" w:rsidP="004C50A3">
    <w:pPr>
      <w:pStyle w:val="Footer"/>
      <w:rPr>
        <w:color w:val="4472C4" w:themeColor="accent5"/>
        <w:sz w:val="20"/>
        <w:szCs w:val="20"/>
      </w:rPr>
    </w:pPr>
    <w:r w:rsidRPr="004C50A3">
      <w:rPr>
        <w:color w:val="4472C4" w:themeColor="accent5"/>
        <w:sz w:val="20"/>
        <w:szCs w:val="20"/>
      </w:rPr>
      <w:t xml:space="preserve">Bruce </w:t>
    </w:r>
    <w:proofErr w:type="spellStart"/>
    <w:r w:rsidRPr="004C50A3">
      <w:rPr>
        <w:color w:val="4472C4" w:themeColor="accent5"/>
        <w:sz w:val="20"/>
        <w:szCs w:val="20"/>
      </w:rPr>
      <w:t>Tieken</w:t>
    </w:r>
    <w:proofErr w:type="spellEnd"/>
    <w:r w:rsidRPr="004C50A3">
      <w:rPr>
        <w:color w:val="4472C4" w:themeColor="accent5"/>
        <w:sz w:val="20"/>
        <w:szCs w:val="20"/>
      </w:rPr>
      <w:t xml:space="preserve">                    Steve </w:t>
    </w:r>
    <w:proofErr w:type="spellStart"/>
    <w:r w:rsidRPr="004C50A3">
      <w:rPr>
        <w:color w:val="4472C4" w:themeColor="accent5"/>
        <w:sz w:val="20"/>
        <w:szCs w:val="20"/>
      </w:rPr>
      <w:t>Ehrig</w:t>
    </w:r>
    <w:proofErr w:type="spellEnd"/>
    <w:r w:rsidRPr="004C50A3">
      <w:rPr>
        <w:color w:val="4472C4" w:themeColor="accent5"/>
        <w:sz w:val="20"/>
        <w:szCs w:val="20"/>
      </w:rPr>
      <w:t xml:space="preserve">                  </w:t>
    </w:r>
    <w:r w:rsidRPr="004C50A3">
      <w:rPr>
        <w:color w:val="4472C4" w:themeColor="accent5"/>
        <w:sz w:val="20"/>
        <w:szCs w:val="20"/>
      </w:rPr>
      <w:tab/>
      <w:t xml:space="preserve">       Barry Miller                     Bruce </w:t>
    </w:r>
    <w:proofErr w:type="spellStart"/>
    <w:r w:rsidRPr="004C50A3">
      <w:rPr>
        <w:color w:val="4472C4" w:themeColor="accent5"/>
        <w:sz w:val="20"/>
        <w:szCs w:val="20"/>
      </w:rPr>
      <w:t>Patteson</w:t>
    </w:r>
    <w:proofErr w:type="spellEnd"/>
    <w:r w:rsidRPr="004C50A3">
      <w:rPr>
        <w:color w:val="4472C4" w:themeColor="accent5"/>
        <w:sz w:val="20"/>
        <w:szCs w:val="20"/>
      </w:rPr>
      <w:t xml:space="preserve">            </w:t>
    </w:r>
    <w:r w:rsidRPr="004C50A3">
      <w:rPr>
        <w:color w:val="4472C4" w:themeColor="accent5"/>
        <w:sz w:val="20"/>
        <w:szCs w:val="20"/>
      </w:rPr>
      <w:tab/>
      <w:t>Kermit Thiele</w:t>
    </w:r>
  </w:p>
  <w:p w:rsidR="004C50A3" w:rsidRPr="004C50A3" w:rsidRDefault="004C50A3" w:rsidP="004C50A3">
    <w:pPr>
      <w:pStyle w:val="Footer"/>
      <w:rPr>
        <w:color w:val="4472C4" w:themeColor="accent5"/>
        <w:sz w:val="20"/>
        <w:szCs w:val="20"/>
      </w:rPr>
    </w:pPr>
    <w:r w:rsidRPr="004C50A3">
      <w:rPr>
        <w:color w:val="4472C4" w:themeColor="accent5"/>
        <w:sz w:val="20"/>
        <w:szCs w:val="20"/>
      </w:rPr>
      <w:t xml:space="preserve">President                          Vice-President                   Secretary                         Director                                      </w:t>
    </w:r>
    <w:proofErr w:type="spellStart"/>
    <w:r w:rsidRPr="004C50A3">
      <w:rPr>
        <w:color w:val="4472C4" w:themeColor="accent5"/>
        <w:sz w:val="20"/>
        <w:szCs w:val="20"/>
      </w:rPr>
      <w:t>Director</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799" w:rsidRDefault="003C1799" w:rsidP="004C50A3">
      <w:pPr>
        <w:spacing w:after="0" w:line="240" w:lineRule="auto"/>
      </w:pPr>
      <w:r>
        <w:separator/>
      </w:r>
    </w:p>
  </w:footnote>
  <w:footnote w:type="continuationSeparator" w:id="0">
    <w:p w:rsidR="003C1799" w:rsidRDefault="003C1799" w:rsidP="004C50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0A3" w:rsidRPr="004C50A3" w:rsidRDefault="004C50A3" w:rsidP="004C50A3">
    <w:pPr>
      <w:pStyle w:val="Header"/>
      <w:jc w:val="right"/>
      <w:rPr>
        <w:color w:val="4472C4" w:themeColor="accent5"/>
        <w:sz w:val="20"/>
        <w:szCs w:val="20"/>
      </w:rPr>
    </w:pPr>
    <w:r>
      <w:rPr>
        <w:color w:val="4472C4" w:themeColor="accent5"/>
      </w:rPr>
      <w:t xml:space="preserve">    </w:t>
    </w:r>
    <w:r>
      <w:rPr>
        <w:color w:val="4472C4" w:themeColor="accent5"/>
      </w:rPr>
      <w:tab/>
      <w:t xml:space="preserve"> </w:t>
    </w:r>
    <w:r w:rsidRPr="004C50A3">
      <w:rPr>
        <w:color w:val="4472C4" w:themeColor="accent5"/>
      </w:rPr>
      <w:t xml:space="preserve">Gonzales County Underground Water Conservation District                      </w:t>
    </w:r>
    <w:r w:rsidRPr="004C50A3">
      <w:rPr>
        <w:color w:val="4472C4" w:themeColor="accent5"/>
        <w:sz w:val="20"/>
        <w:szCs w:val="20"/>
      </w:rPr>
      <w:t xml:space="preserve">                                              920 Saint Joseph</w:t>
    </w:r>
  </w:p>
  <w:p w:rsidR="004C50A3" w:rsidRPr="004C50A3" w:rsidRDefault="004C50A3" w:rsidP="004C50A3">
    <w:pPr>
      <w:pStyle w:val="Header"/>
      <w:jc w:val="right"/>
      <w:rPr>
        <w:color w:val="4472C4" w:themeColor="accent5"/>
        <w:sz w:val="20"/>
        <w:szCs w:val="20"/>
      </w:rPr>
    </w:pPr>
    <w:r w:rsidRPr="004C50A3">
      <w:rPr>
        <w:color w:val="4472C4" w:themeColor="accent5"/>
        <w:sz w:val="20"/>
        <w:szCs w:val="20"/>
      </w:rPr>
      <w:tab/>
      <w:t xml:space="preserve">                                                                                                                                                                                              </w:t>
    </w:r>
    <w:smartTag w:uri="urn:schemas-microsoft-com:office:smarttags" w:element="Street">
      <w:r w:rsidRPr="004C50A3">
        <w:rPr>
          <w:color w:val="4472C4" w:themeColor="accent5"/>
          <w:sz w:val="20"/>
          <w:szCs w:val="20"/>
        </w:rPr>
        <w:t>P.O. Box</w:t>
      </w:r>
    </w:smartTag>
    <w:r w:rsidRPr="004C50A3">
      <w:rPr>
        <w:color w:val="4472C4" w:themeColor="accent5"/>
        <w:sz w:val="20"/>
        <w:szCs w:val="20"/>
      </w:rPr>
      <w:t xml:space="preserve"> 1919</w:t>
    </w:r>
  </w:p>
  <w:p w:rsidR="004C50A3" w:rsidRPr="004C50A3" w:rsidRDefault="004C50A3" w:rsidP="004C50A3">
    <w:pPr>
      <w:pStyle w:val="Header"/>
      <w:jc w:val="right"/>
      <w:rPr>
        <w:color w:val="4472C4" w:themeColor="accent5"/>
        <w:sz w:val="20"/>
        <w:szCs w:val="20"/>
      </w:rPr>
    </w:pPr>
    <w:r w:rsidRPr="004C50A3">
      <w:rPr>
        <w:color w:val="4472C4" w:themeColor="accent5"/>
        <w:sz w:val="20"/>
        <w:szCs w:val="20"/>
      </w:rPr>
      <w:t>Gonzales, Texas 78629</w:t>
    </w:r>
  </w:p>
  <w:p w:rsidR="004C50A3" w:rsidRPr="004C50A3" w:rsidRDefault="004C50A3" w:rsidP="004C50A3">
    <w:pPr>
      <w:pStyle w:val="Header"/>
      <w:jc w:val="right"/>
      <w:rPr>
        <w:color w:val="4472C4" w:themeColor="accent5"/>
        <w:sz w:val="20"/>
        <w:szCs w:val="20"/>
      </w:rPr>
    </w:pPr>
    <w:r w:rsidRPr="004C50A3">
      <w:rPr>
        <w:color w:val="4472C4" w:themeColor="accent5"/>
        <w:sz w:val="20"/>
        <w:szCs w:val="20"/>
      </w:rPr>
      <w:tab/>
    </w:r>
    <w:r w:rsidRPr="004C50A3">
      <w:rPr>
        <w:color w:val="4472C4" w:themeColor="accent5"/>
        <w:sz w:val="20"/>
        <w:szCs w:val="20"/>
        <w:u w:val="double"/>
      </w:rPr>
      <w:t xml:space="preserve">                                                                                                                                                                                 Phone 830.672.1047</w:t>
    </w:r>
  </w:p>
  <w:p w:rsidR="004C50A3" w:rsidRDefault="004C50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091A29"/>
    <w:multiLevelType w:val="hybridMultilevel"/>
    <w:tmpl w:val="9E629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409"/>
    <w:rsid w:val="00036E4C"/>
    <w:rsid w:val="00056F1C"/>
    <w:rsid w:val="00091C2A"/>
    <w:rsid w:val="001F5782"/>
    <w:rsid w:val="00374409"/>
    <w:rsid w:val="003C1799"/>
    <w:rsid w:val="004727EB"/>
    <w:rsid w:val="004C50A3"/>
    <w:rsid w:val="004F2027"/>
    <w:rsid w:val="005309AE"/>
    <w:rsid w:val="007426B5"/>
    <w:rsid w:val="0085458F"/>
    <w:rsid w:val="008C1976"/>
    <w:rsid w:val="008E3E5D"/>
    <w:rsid w:val="009E7E29"/>
    <w:rsid w:val="009F6E7F"/>
    <w:rsid w:val="00B10A1A"/>
    <w:rsid w:val="00CA24F3"/>
    <w:rsid w:val="00CD4894"/>
    <w:rsid w:val="00D4728D"/>
    <w:rsid w:val="00E36AE8"/>
    <w:rsid w:val="00F6157D"/>
    <w:rsid w:val="00F75027"/>
    <w:rsid w:val="00FF7C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0A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0A1A"/>
    <w:rPr>
      <w:rFonts w:ascii="Tahoma" w:hAnsi="Tahoma" w:cs="Tahoma"/>
      <w:sz w:val="16"/>
      <w:szCs w:val="16"/>
    </w:rPr>
  </w:style>
  <w:style w:type="paragraph" w:styleId="Header">
    <w:name w:val="header"/>
    <w:basedOn w:val="Normal"/>
    <w:link w:val="HeaderChar"/>
    <w:unhideWhenUsed/>
    <w:rsid w:val="004C50A3"/>
    <w:pPr>
      <w:tabs>
        <w:tab w:val="center" w:pos="4680"/>
        <w:tab w:val="right" w:pos="9360"/>
      </w:tabs>
      <w:spacing w:after="0" w:line="240" w:lineRule="auto"/>
    </w:pPr>
  </w:style>
  <w:style w:type="character" w:customStyle="1" w:styleId="HeaderChar">
    <w:name w:val="Header Char"/>
    <w:basedOn w:val="DefaultParagraphFont"/>
    <w:link w:val="Header"/>
    <w:rsid w:val="004C50A3"/>
  </w:style>
  <w:style w:type="paragraph" w:styleId="Footer">
    <w:name w:val="footer"/>
    <w:basedOn w:val="Normal"/>
    <w:link w:val="FooterChar"/>
    <w:unhideWhenUsed/>
    <w:rsid w:val="004C50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50A3"/>
  </w:style>
  <w:style w:type="character" w:styleId="Hyperlink">
    <w:name w:val="Hyperlink"/>
    <w:rsid w:val="004C50A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0A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0A1A"/>
    <w:rPr>
      <w:rFonts w:ascii="Tahoma" w:hAnsi="Tahoma" w:cs="Tahoma"/>
      <w:sz w:val="16"/>
      <w:szCs w:val="16"/>
    </w:rPr>
  </w:style>
  <w:style w:type="paragraph" w:styleId="Header">
    <w:name w:val="header"/>
    <w:basedOn w:val="Normal"/>
    <w:link w:val="HeaderChar"/>
    <w:unhideWhenUsed/>
    <w:rsid w:val="004C50A3"/>
    <w:pPr>
      <w:tabs>
        <w:tab w:val="center" w:pos="4680"/>
        <w:tab w:val="right" w:pos="9360"/>
      </w:tabs>
      <w:spacing w:after="0" w:line="240" w:lineRule="auto"/>
    </w:pPr>
  </w:style>
  <w:style w:type="character" w:customStyle="1" w:styleId="HeaderChar">
    <w:name w:val="Header Char"/>
    <w:basedOn w:val="DefaultParagraphFont"/>
    <w:link w:val="Header"/>
    <w:rsid w:val="004C50A3"/>
  </w:style>
  <w:style w:type="paragraph" w:styleId="Footer">
    <w:name w:val="footer"/>
    <w:basedOn w:val="Normal"/>
    <w:link w:val="FooterChar"/>
    <w:unhideWhenUsed/>
    <w:rsid w:val="004C50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50A3"/>
  </w:style>
  <w:style w:type="character" w:styleId="Hyperlink">
    <w:name w:val="Hyperlink"/>
    <w:rsid w:val="004C50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jeev.kalaswad@twdb.texas.gov"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1205</Words>
  <Characters>6875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Aaron</dc:creator>
  <cp:lastModifiedBy>Greg Sengelmann</cp:lastModifiedBy>
  <cp:revision>5</cp:revision>
  <dcterms:created xsi:type="dcterms:W3CDTF">2015-10-30T14:33:00Z</dcterms:created>
  <dcterms:modified xsi:type="dcterms:W3CDTF">2015-10-30T19:44:00Z</dcterms:modified>
</cp:coreProperties>
</file>