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27A8" w:rsidRPr="00E827A8" w:rsidRDefault="00E827A8">
      <w:pPr>
        <w:rPr>
          <w:rFonts w:ascii="Arial" w:hAnsi="Arial" w:cs="Arial"/>
        </w:rPr>
      </w:pPr>
      <w:bookmarkStart w:id="0" w:name="_GoBack"/>
      <w:bookmarkEnd w:id="0"/>
      <w:r w:rsidRPr="00E827A8">
        <w:rPr>
          <w:rFonts w:ascii="Arial" w:hAnsi="Arial" w:cs="Arial"/>
        </w:rPr>
        <w:t xml:space="preserve">GMA 6 </w:t>
      </w:r>
    </w:p>
    <w:p w:rsidR="00BF08DA" w:rsidRPr="00E827A8" w:rsidRDefault="00E827A8">
      <w:pPr>
        <w:rPr>
          <w:rFonts w:ascii="Arial" w:hAnsi="Arial" w:cs="Arial"/>
        </w:rPr>
      </w:pPr>
      <w:r w:rsidRPr="00E827A8">
        <w:rPr>
          <w:rFonts w:ascii="Arial" w:hAnsi="Arial" w:cs="Arial"/>
        </w:rPr>
        <w:t>HB 30 (Brackish Water) Comments</w:t>
      </w:r>
    </w:p>
    <w:p w:rsidR="00E827A8" w:rsidRPr="00E827A8" w:rsidRDefault="00E827A8">
      <w:pPr>
        <w:rPr>
          <w:rFonts w:ascii="Arial" w:hAnsi="Arial" w:cs="Arial"/>
        </w:rPr>
      </w:pPr>
      <w:r w:rsidRPr="00E827A8">
        <w:rPr>
          <w:rFonts w:ascii="Arial" w:hAnsi="Arial" w:cs="Arial"/>
        </w:rPr>
        <w:t>GMA 6 Strongly supports the comments by others concerning the methods of determining how the proposed brackish water production zones will be established, quoted in part below:</w:t>
      </w:r>
    </w:p>
    <w:p w:rsidR="00E827A8" w:rsidRPr="00E827A8" w:rsidRDefault="00E827A8" w:rsidP="00E827A8">
      <w:pPr>
        <w:jc w:val="both"/>
        <w:rPr>
          <w:rFonts w:ascii="Times New Roman" w:hAnsi="Times New Roman"/>
          <w:i/>
          <w:color w:val="000000"/>
          <w:sz w:val="20"/>
          <w:szCs w:val="24"/>
        </w:rPr>
      </w:pPr>
      <w:r>
        <w:rPr>
          <w:rFonts w:ascii="Times New Roman" w:hAnsi="Times New Roman"/>
          <w:color w:val="000000"/>
          <w:sz w:val="24"/>
          <w:szCs w:val="24"/>
        </w:rPr>
        <w:t>“</w:t>
      </w:r>
      <w:r w:rsidRPr="00E827A8">
        <w:rPr>
          <w:rFonts w:ascii="Times New Roman" w:hAnsi="Times New Roman"/>
          <w:i/>
          <w:color w:val="000000"/>
          <w:sz w:val="20"/>
          <w:szCs w:val="24"/>
        </w:rPr>
        <w:t xml:space="preserve">Because of the vastly known differences between aquifer conditions and regional characteristics across the state, and the subjectivity of the aforementioned questions, HPWD </w:t>
      </w:r>
      <w:r w:rsidRPr="00E827A8">
        <w:rPr>
          <w:rFonts w:ascii="Times New Roman" w:hAnsi="Times New Roman"/>
          <w:i/>
          <w:color w:val="000000"/>
          <w:sz w:val="20"/>
          <w:szCs w:val="24"/>
          <w:u w:val="single"/>
        </w:rPr>
        <w:t>strongly</w:t>
      </w:r>
      <w:r w:rsidRPr="00E827A8">
        <w:rPr>
          <w:rFonts w:ascii="Times New Roman" w:hAnsi="Times New Roman"/>
          <w:i/>
          <w:color w:val="000000"/>
          <w:sz w:val="20"/>
          <w:szCs w:val="24"/>
        </w:rPr>
        <w:t xml:space="preserve"> recommends the TWDB seek to define of what constitutes a significant impact, significant source, or a sufficient definition of separation of a hydrogeological barrier on an area by area basis with </w:t>
      </w:r>
      <w:r w:rsidRPr="00E827A8">
        <w:rPr>
          <w:rFonts w:ascii="Times New Roman" w:hAnsi="Times New Roman"/>
          <w:i/>
          <w:color w:val="000000"/>
          <w:sz w:val="20"/>
          <w:szCs w:val="24"/>
          <w:u w:val="single"/>
        </w:rPr>
        <w:t>direct</w:t>
      </w:r>
      <w:r w:rsidRPr="00E827A8">
        <w:rPr>
          <w:rFonts w:ascii="Times New Roman" w:hAnsi="Times New Roman"/>
          <w:i/>
          <w:color w:val="000000"/>
          <w:sz w:val="20"/>
          <w:szCs w:val="24"/>
        </w:rPr>
        <w:t xml:space="preserve"> input from local GCD’s as well as local municipal, domestic and agricultural stakeholders located within a proposed brackish groundwater zone prior to designation. We adamantly believe there is not a one-size fits all definition to the proposed questions.</w:t>
      </w:r>
    </w:p>
    <w:p w:rsidR="00E827A8" w:rsidRPr="00E827A8" w:rsidRDefault="00E827A8" w:rsidP="00E827A8">
      <w:pPr>
        <w:autoSpaceDE w:val="0"/>
        <w:autoSpaceDN w:val="0"/>
        <w:adjustRightInd w:val="0"/>
        <w:jc w:val="both"/>
        <w:rPr>
          <w:rFonts w:ascii="Times New Roman" w:hAnsi="Times New Roman"/>
          <w:i/>
          <w:color w:val="000000"/>
          <w:sz w:val="20"/>
          <w:szCs w:val="24"/>
        </w:rPr>
      </w:pPr>
      <w:r w:rsidRPr="00E827A8">
        <w:rPr>
          <w:rFonts w:ascii="Times New Roman" w:hAnsi="Times New Roman"/>
          <w:i/>
          <w:color w:val="000000"/>
          <w:sz w:val="20"/>
          <w:szCs w:val="24"/>
        </w:rPr>
        <w:t xml:space="preserve">Additionally, HPWD </w:t>
      </w:r>
      <w:r w:rsidRPr="00E827A8">
        <w:rPr>
          <w:rFonts w:ascii="Times New Roman" w:hAnsi="Times New Roman"/>
          <w:i/>
          <w:color w:val="000000"/>
          <w:sz w:val="20"/>
          <w:szCs w:val="24"/>
          <w:u w:val="single"/>
        </w:rPr>
        <w:t>strongly</w:t>
      </w:r>
      <w:r w:rsidRPr="00E827A8">
        <w:rPr>
          <w:rFonts w:ascii="Times New Roman" w:hAnsi="Times New Roman"/>
          <w:i/>
          <w:color w:val="000000"/>
          <w:sz w:val="20"/>
          <w:szCs w:val="24"/>
        </w:rPr>
        <w:t xml:space="preserve"> recommends the TWDB hold a minimum of two stakeholder meetings in each of the proposed areas prior to the designation of a zone in order to receive local input from residents and landowners as it relates to the defining questions, the economic impact of designating a brackish groundwater production zone and the impact if any to private property rights.</w:t>
      </w:r>
    </w:p>
    <w:p w:rsidR="00E827A8" w:rsidRDefault="00E827A8" w:rsidP="00E827A8">
      <w:pPr>
        <w:rPr>
          <w:rFonts w:ascii="Times New Roman" w:hAnsi="Times New Roman"/>
          <w:color w:val="000000"/>
          <w:sz w:val="24"/>
          <w:szCs w:val="24"/>
        </w:rPr>
      </w:pPr>
      <w:r w:rsidRPr="00E827A8">
        <w:rPr>
          <w:rFonts w:ascii="Times New Roman" w:hAnsi="Times New Roman"/>
          <w:i/>
          <w:color w:val="000000"/>
          <w:sz w:val="20"/>
          <w:szCs w:val="24"/>
        </w:rPr>
        <w:t>We believe if the TWDB reaches out to local residents and landowners in their respective home areas, and afford them the ability to provide input in the identification and designation process of brackish groundwater production zones, this will incentivize the utilization of brackish groundwater furthermore reducing the use of fresh groundwater resources</w:t>
      </w:r>
      <w:r>
        <w:rPr>
          <w:rFonts w:ascii="Times New Roman" w:hAnsi="Times New Roman"/>
          <w:color w:val="000000"/>
          <w:sz w:val="24"/>
          <w:szCs w:val="24"/>
        </w:rPr>
        <w:t>”</w:t>
      </w:r>
    </w:p>
    <w:p w:rsidR="00703214" w:rsidRDefault="00E827A8" w:rsidP="00703214">
      <w:pPr>
        <w:jc w:val="both"/>
        <w:rPr>
          <w:rFonts w:ascii="Times New Roman" w:hAnsi="Times New Roman"/>
          <w:i/>
          <w:color w:val="000000"/>
          <w:sz w:val="20"/>
          <w:szCs w:val="24"/>
        </w:rPr>
      </w:pPr>
      <w:r w:rsidRPr="00E827A8">
        <w:rPr>
          <w:rFonts w:ascii="Arial" w:hAnsi="Arial"/>
          <w:color w:val="000000"/>
          <w:sz w:val="24"/>
          <w:szCs w:val="24"/>
        </w:rPr>
        <w:t>We strongly support the idea that:</w:t>
      </w:r>
      <w:r>
        <w:rPr>
          <w:rFonts w:ascii="Times New Roman" w:hAnsi="Times New Roman"/>
          <w:color w:val="000000"/>
          <w:sz w:val="24"/>
          <w:szCs w:val="24"/>
        </w:rPr>
        <w:t xml:space="preserve"> “</w:t>
      </w:r>
      <w:r w:rsidRPr="00E827A8">
        <w:rPr>
          <w:rFonts w:ascii="Times New Roman" w:hAnsi="Times New Roman"/>
          <w:i/>
          <w:color w:val="000000"/>
          <w:sz w:val="20"/>
          <w:szCs w:val="24"/>
        </w:rPr>
        <w:t>We adamantly believe there is not a one-size fits all definition to the proposed questions.</w:t>
      </w:r>
      <w:r>
        <w:rPr>
          <w:rFonts w:ascii="Times New Roman" w:hAnsi="Times New Roman"/>
          <w:i/>
          <w:color w:val="000000"/>
          <w:sz w:val="20"/>
          <w:szCs w:val="24"/>
        </w:rPr>
        <w:t>”</w:t>
      </w:r>
    </w:p>
    <w:p w:rsidR="00703214" w:rsidRDefault="0043776C" w:rsidP="00703214">
      <w:pPr>
        <w:jc w:val="both"/>
        <w:rPr>
          <w:rFonts w:ascii="Arial" w:hAnsi="Arial"/>
          <w:color w:val="000000"/>
          <w:sz w:val="20"/>
          <w:szCs w:val="24"/>
        </w:rPr>
      </w:pPr>
      <w:r>
        <w:rPr>
          <w:rFonts w:ascii="Arial" w:hAnsi="Arial"/>
          <w:color w:val="000000"/>
          <w:sz w:val="20"/>
          <w:szCs w:val="24"/>
        </w:rPr>
        <w:t>GMA 6 believes that using</w:t>
      </w:r>
      <w:r w:rsidR="00A84345">
        <w:rPr>
          <w:rFonts w:ascii="Arial" w:hAnsi="Arial"/>
          <w:color w:val="000000"/>
          <w:sz w:val="20"/>
          <w:szCs w:val="24"/>
        </w:rPr>
        <w:t xml:space="preserve"> 1000 mg/L</w:t>
      </w:r>
      <w:r w:rsidR="003C1DEF">
        <w:rPr>
          <w:rFonts w:ascii="Arial" w:hAnsi="Arial"/>
          <w:color w:val="000000"/>
          <w:sz w:val="20"/>
          <w:szCs w:val="24"/>
        </w:rPr>
        <w:t xml:space="preserve"> TDS</w:t>
      </w:r>
      <w:r w:rsidR="00A84345">
        <w:rPr>
          <w:rFonts w:ascii="Arial" w:hAnsi="Arial"/>
          <w:color w:val="000000"/>
          <w:sz w:val="20"/>
          <w:szCs w:val="24"/>
        </w:rPr>
        <w:t xml:space="preserve"> as a lower limit of b</w:t>
      </w:r>
      <w:r>
        <w:rPr>
          <w:rFonts w:ascii="Arial" w:hAnsi="Arial"/>
          <w:color w:val="000000"/>
          <w:sz w:val="20"/>
          <w:szCs w:val="24"/>
        </w:rPr>
        <w:t>ra</w:t>
      </w:r>
      <w:r w:rsidR="00A84345">
        <w:rPr>
          <w:rFonts w:ascii="Arial" w:hAnsi="Arial"/>
          <w:color w:val="000000"/>
          <w:sz w:val="20"/>
          <w:szCs w:val="24"/>
        </w:rPr>
        <w:t>ckish water is too low</w:t>
      </w:r>
      <w:r w:rsidR="002E2535">
        <w:rPr>
          <w:rFonts w:ascii="Arial" w:hAnsi="Arial"/>
          <w:color w:val="000000"/>
          <w:sz w:val="20"/>
          <w:szCs w:val="24"/>
        </w:rPr>
        <w:t xml:space="preserve"> and does not accu</w:t>
      </w:r>
      <w:r w:rsidR="003C1DEF">
        <w:rPr>
          <w:rFonts w:ascii="Arial" w:hAnsi="Arial"/>
          <w:color w:val="000000"/>
          <w:sz w:val="20"/>
          <w:szCs w:val="24"/>
        </w:rPr>
        <w:t>rately reflect conditions in our</w:t>
      </w:r>
      <w:r w:rsidR="002E2535">
        <w:rPr>
          <w:rFonts w:ascii="Arial" w:hAnsi="Arial"/>
          <w:color w:val="000000"/>
          <w:sz w:val="20"/>
          <w:szCs w:val="24"/>
        </w:rPr>
        <w:t xml:space="preserve"> area</w:t>
      </w:r>
      <w:r w:rsidR="00A84345">
        <w:rPr>
          <w:rFonts w:ascii="Arial" w:hAnsi="Arial"/>
          <w:color w:val="000000"/>
          <w:sz w:val="20"/>
          <w:szCs w:val="24"/>
        </w:rPr>
        <w:t>.  T</w:t>
      </w:r>
      <w:r>
        <w:rPr>
          <w:rFonts w:ascii="Arial" w:hAnsi="Arial"/>
          <w:color w:val="000000"/>
          <w:sz w:val="20"/>
          <w:szCs w:val="24"/>
        </w:rPr>
        <w:t>h</w:t>
      </w:r>
      <w:r w:rsidR="002E2535">
        <w:rPr>
          <w:rFonts w:ascii="Arial" w:hAnsi="Arial"/>
          <w:color w:val="000000"/>
          <w:sz w:val="20"/>
          <w:szCs w:val="24"/>
        </w:rPr>
        <w:t>e proposed</w:t>
      </w:r>
      <w:r>
        <w:rPr>
          <w:rFonts w:ascii="Arial" w:hAnsi="Arial"/>
          <w:color w:val="000000"/>
          <w:sz w:val="20"/>
          <w:szCs w:val="24"/>
        </w:rPr>
        <w:t xml:space="preserve"> definition may fit climatic &amp; geologic conditions in the areas to the east with higher annual average rainfall</w:t>
      </w:r>
      <w:r w:rsidR="00A84345">
        <w:rPr>
          <w:rFonts w:ascii="Arial" w:hAnsi="Arial"/>
          <w:color w:val="000000"/>
          <w:sz w:val="20"/>
          <w:szCs w:val="24"/>
        </w:rPr>
        <w:t xml:space="preserve"> and lower evaporation rates</w:t>
      </w:r>
      <w:r w:rsidR="002E2535">
        <w:rPr>
          <w:rFonts w:ascii="Arial" w:hAnsi="Arial"/>
          <w:color w:val="000000"/>
          <w:sz w:val="20"/>
          <w:szCs w:val="24"/>
        </w:rPr>
        <w:t>, bu</w:t>
      </w:r>
      <w:r w:rsidR="00A84345">
        <w:rPr>
          <w:rFonts w:ascii="Arial" w:hAnsi="Arial"/>
          <w:color w:val="000000"/>
          <w:sz w:val="20"/>
          <w:szCs w:val="24"/>
        </w:rPr>
        <w:t>t does not accurately reflect conditions in GMA 6</w:t>
      </w:r>
      <w:r w:rsidR="002E2535">
        <w:rPr>
          <w:rFonts w:ascii="Arial" w:hAnsi="Arial"/>
          <w:color w:val="000000"/>
          <w:sz w:val="20"/>
          <w:szCs w:val="24"/>
        </w:rPr>
        <w:t xml:space="preserve"> and areas to the west with lower average rainfall and higher evaporation rates</w:t>
      </w:r>
      <w:r w:rsidR="00A84345">
        <w:rPr>
          <w:rFonts w:ascii="Arial" w:hAnsi="Arial"/>
          <w:color w:val="000000"/>
          <w:sz w:val="20"/>
          <w:szCs w:val="24"/>
        </w:rPr>
        <w:t xml:space="preserve">. </w:t>
      </w:r>
      <w:r w:rsidR="003C1DEF">
        <w:rPr>
          <w:rFonts w:ascii="Arial" w:hAnsi="Arial"/>
          <w:color w:val="000000"/>
          <w:sz w:val="20"/>
          <w:szCs w:val="24"/>
        </w:rPr>
        <w:t xml:space="preserve">A hasty </w:t>
      </w:r>
      <w:r w:rsidR="006836A9">
        <w:rPr>
          <w:rFonts w:ascii="Arial" w:hAnsi="Arial"/>
          <w:color w:val="000000"/>
          <w:sz w:val="20"/>
          <w:szCs w:val="24"/>
        </w:rPr>
        <w:t xml:space="preserve">scan of TWDB data for Childress, Fisher, </w:t>
      </w:r>
      <w:proofErr w:type="spellStart"/>
      <w:r w:rsidR="006836A9">
        <w:rPr>
          <w:rFonts w:ascii="Arial" w:hAnsi="Arial"/>
          <w:color w:val="000000"/>
          <w:sz w:val="20"/>
          <w:szCs w:val="24"/>
        </w:rPr>
        <w:t>Cottle</w:t>
      </w:r>
      <w:proofErr w:type="spellEnd"/>
      <w:r w:rsidR="006836A9">
        <w:rPr>
          <w:rFonts w:ascii="Arial" w:hAnsi="Arial"/>
          <w:color w:val="000000"/>
          <w:sz w:val="20"/>
          <w:szCs w:val="24"/>
        </w:rPr>
        <w:t xml:space="preserve"> &amp; Hardeman County for TDS shows a range from 2111 to 3393 mg/L TDS. Note that these counties are almost entirely covered by the Blaine formation/Aquifer.  </w:t>
      </w:r>
      <w:r w:rsidR="003C1DEF">
        <w:rPr>
          <w:rFonts w:ascii="Arial" w:hAnsi="Arial"/>
          <w:color w:val="000000"/>
          <w:sz w:val="20"/>
          <w:szCs w:val="24"/>
        </w:rPr>
        <w:t>We r</w:t>
      </w:r>
      <w:r w:rsidR="002E2535">
        <w:rPr>
          <w:rFonts w:ascii="Arial" w:hAnsi="Arial"/>
          <w:color w:val="000000"/>
          <w:sz w:val="20"/>
          <w:szCs w:val="24"/>
        </w:rPr>
        <w:t>e</w:t>
      </w:r>
      <w:r w:rsidR="00A84345">
        <w:rPr>
          <w:rFonts w:ascii="Arial" w:hAnsi="Arial"/>
          <w:color w:val="000000"/>
          <w:sz w:val="20"/>
          <w:szCs w:val="24"/>
        </w:rPr>
        <w:t xml:space="preserve">commend </w:t>
      </w:r>
      <w:r w:rsidR="002E2535">
        <w:rPr>
          <w:rFonts w:ascii="Arial" w:hAnsi="Arial"/>
          <w:color w:val="000000"/>
          <w:sz w:val="20"/>
          <w:szCs w:val="24"/>
        </w:rPr>
        <w:t>that the minimum TDS level be raised for the GMA 6 area and the western part of the state</w:t>
      </w:r>
      <w:r w:rsidR="006836A9">
        <w:rPr>
          <w:rFonts w:ascii="Arial" w:hAnsi="Arial"/>
          <w:color w:val="000000"/>
          <w:sz w:val="20"/>
          <w:szCs w:val="24"/>
        </w:rPr>
        <w:t xml:space="preserve"> be raised to at least 2500 mg/L</w:t>
      </w:r>
      <w:r w:rsidR="002E2535">
        <w:rPr>
          <w:rFonts w:ascii="Arial" w:hAnsi="Arial"/>
          <w:color w:val="000000"/>
          <w:sz w:val="20"/>
          <w:szCs w:val="24"/>
        </w:rPr>
        <w:t>.</w:t>
      </w:r>
      <w:r w:rsidR="006836A9">
        <w:rPr>
          <w:rFonts w:ascii="Arial" w:hAnsi="Arial"/>
          <w:color w:val="000000"/>
          <w:sz w:val="20"/>
          <w:szCs w:val="24"/>
        </w:rPr>
        <w:t xml:space="preserve"> </w:t>
      </w:r>
    </w:p>
    <w:p w:rsidR="00E7369B" w:rsidRDefault="00E7369B" w:rsidP="00703214">
      <w:pPr>
        <w:jc w:val="both"/>
        <w:rPr>
          <w:rFonts w:ascii="Arial" w:hAnsi="Arial"/>
          <w:color w:val="000000"/>
          <w:sz w:val="20"/>
          <w:szCs w:val="24"/>
        </w:rPr>
      </w:pPr>
      <w:r>
        <w:rPr>
          <w:rFonts w:ascii="Arial" w:hAnsi="Arial"/>
          <w:color w:val="000000"/>
          <w:sz w:val="20"/>
          <w:szCs w:val="24"/>
        </w:rPr>
        <w:t xml:space="preserve">The Blaine formation/aquifer is found in 12 counties in GMA 6.  Some additional Blaine formation is shown in southern Wheeler and northern Nolan counties.  The majority of the mapped </w:t>
      </w:r>
      <w:r w:rsidR="00916CE2">
        <w:rPr>
          <w:rFonts w:ascii="Arial" w:hAnsi="Arial"/>
          <w:color w:val="000000"/>
          <w:sz w:val="20"/>
          <w:szCs w:val="24"/>
        </w:rPr>
        <w:t xml:space="preserve">Blaine </w:t>
      </w:r>
      <w:r>
        <w:rPr>
          <w:rFonts w:ascii="Arial" w:hAnsi="Arial"/>
          <w:color w:val="000000"/>
          <w:sz w:val="20"/>
          <w:szCs w:val="24"/>
        </w:rPr>
        <w:t>formation</w:t>
      </w:r>
      <w:r w:rsidR="00916CE2">
        <w:rPr>
          <w:rFonts w:ascii="Arial" w:hAnsi="Arial"/>
          <w:color w:val="000000"/>
          <w:sz w:val="20"/>
          <w:szCs w:val="24"/>
        </w:rPr>
        <w:t xml:space="preserve"> is located in GMA 6.</w:t>
      </w:r>
      <w:r>
        <w:rPr>
          <w:rFonts w:ascii="Arial" w:hAnsi="Arial"/>
          <w:color w:val="000000"/>
          <w:sz w:val="20"/>
          <w:szCs w:val="24"/>
        </w:rPr>
        <w:t xml:space="preserve"> </w:t>
      </w:r>
    </w:p>
    <w:p w:rsidR="002E2535" w:rsidRDefault="002E2535" w:rsidP="00703214">
      <w:pPr>
        <w:jc w:val="both"/>
        <w:rPr>
          <w:rFonts w:ascii="Arial" w:hAnsi="Arial"/>
          <w:color w:val="000000"/>
          <w:sz w:val="20"/>
          <w:szCs w:val="24"/>
        </w:rPr>
      </w:pPr>
      <w:r>
        <w:rPr>
          <w:rFonts w:ascii="Arial" w:hAnsi="Arial"/>
          <w:color w:val="000000"/>
          <w:sz w:val="20"/>
          <w:szCs w:val="24"/>
        </w:rPr>
        <w:t xml:space="preserve">The Blaine </w:t>
      </w:r>
      <w:r w:rsidR="009514CB">
        <w:rPr>
          <w:rFonts w:ascii="Arial" w:hAnsi="Arial"/>
          <w:color w:val="000000"/>
          <w:sz w:val="20"/>
          <w:szCs w:val="24"/>
        </w:rPr>
        <w:t>formation/</w:t>
      </w:r>
      <w:r>
        <w:rPr>
          <w:rFonts w:ascii="Arial" w:hAnsi="Arial"/>
          <w:color w:val="000000"/>
          <w:sz w:val="20"/>
          <w:szCs w:val="24"/>
        </w:rPr>
        <w:t xml:space="preserve">aquifer is the only major </w:t>
      </w:r>
      <w:r w:rsidRPr="009514CB">
        <w:rPr>
          <w:rFonts w:ascii="Arial" w:hAnsi="Arial"/>
          <w:i/>
          <w:color w:val="000000"/>
          <w:sz w:val="20"/>
          <w:szCs w:val="24"/>
          <w:u w:val="double"/>
        </w:rPr>
        <w:t>or</w:t>
      </w:r>
      <w:r>
        <w:rPr>
          <w:rFonts w:ascii="Arial" w:hAnsi="Arial"/>
          <w:color w:val="000000"/>
          <w:sz w:val="20"/>
          <w:szCs w:val="24"/>
        </w:rPr>
        <w:t xml:space="preserve"> minor aquifer </w:t>
      </w:r>
      <w:r w:rsidR="00A83CEE">
        <w:rPr>
          <w:rFonts w:ascii="Arial" w:hAnsi="Arial"/>
          <w:color w:val="000000"/>
          <w:sz w:val="20"/>
          <w:szCs w:val="24"/>
        </w:rPr>
        <w:t xml:space="preserve">mapped </w:t>
      </w:r>
      <w:r>
        <w:rPr>
          <w:rFonts w:ascii="Arial" w:hAnsi="Arial"/>
          <w:color w:val="000000"/>
          <w:sz w:val="20"/>
          <w:szCs w:val="24"/>
        </w:rPr>
        <w:t>in 2 of the counties in GMA 6 (</w:t>
      </w:r>
      <w:proofErr w:type="spellStart"/>
      <w:r>
        <w:rPr>
          <w:rFonts w:ascii="Arial" w:hAnsi="Arial"/>
          <w:color w:val="000000"/>
          <w:sz w:val="20"/>
          <w:szCs w:val="24"/>
        </w:rPr>
        <w:t>Cottle</w:t>
      </w:r>
      <w:proofErr w:type="spellEnd"/>
      <w:r>
        <w:rPr>
          <w:rFonts w:ascii="Arial" w:hAnsi="Arial"/>
          <w:color w:val="000000"/>
          <w:sz w:val="20"/>
          <w:szCs w:val="24"/>
        </w:rPr>
        <w:t xml:space="preserve"> &amp; King). </w:t>
      </w:r>
      <w:r w:rsidR="00D17B51">
        <w:rPr>
          <w:rFonts w:ascii="Arial" w:hAnsi="Arial"/>
          <w:color w:val="000000"/>
          <w:sz w:val="20"/>
          <w:szCs w:val="24"/>
        </w:rPr>
        <w:t>T</w:t>
      </w:r>
      <w:r w:rsidR="009514CB">
        <w:rPr>
          <w:rFonts w:ascii="Arial" w:hAnsi="Arial"/>
          <w:color w:val="000000"/>
          <w:sz w:val="20"/>
          <w:szCs w:val="24"/>
        </w:rPr>
        <w:t>wo</w:t>
      </w:r>
      <w:r w:rsidR="00D17B51">
        <w:rPr>
          <w:rFonts w:ascii="Arial" w:hAnsi="Arial"/>
          <w:color w:val="000000"/>
          <w:sz w:val="20"/>
          <w:szCs w:val="24"/>
        </w:rPr>
        <w:t xml:space="preserve"> </w:t>
      </w:r>
      <w:r>
        <w:rPr>
          <w:rFonts w:ascii="Arial" w:hAnsi="Arial"/>
          <w:color w:val="000000"/>
          <w:sz w:val="20"/>
          <w:szCs w:val="24"/>
        </w:rPr>
        <w:t xml:space="preserve">other counties have minimal additional </w:t>
      </w:r>
      <w:r w:rsidR="009514CB">
        <w:rPr>
          <w:rFonts w:ascii="Arial" w:hAnsi="Arial"/>
          <w:color w:val="000000"/>
          <w:sz w:val="20"/>
          <w:szCs w:val="24"/>
        </w:rPr>
        <w:t xml:space="preserve">aquifer </w:t>
      </w:r>
      <w:r>
        <w:rPr>
          <w:rFonts w:ascii="Arial" w:hAnsi="Arial"/>
          <w:color w:val="000000"/>
          <w:sz w:val="20"/>
          <w:szCs w:val="24"/>
        </w:rPr>
        <w:t>assets</w:t>
      </w:r>
      <w:r w:rsidR="00A83CEE">
        <w:rPr>
          <w:rFonts w:ascii="Arial" w:hAnsi="Arial"/>
          <w:color w:val="000000"/>
          <w:sz w:val="20"/>
          <w:szCs w:val="24"/>
        </w:rPr>
        <w:t xml:space="preserve"> mapped</w:t>
      </w:r>
      <w:r>
        <w:rPr>
          <w:rFonts w:ascii="Arial" w:hAnsi="Arial"/>
          <w:color w:val="000000"/>
          <w:sz w:val="20"/>
          <w:szCs w:val="24"/>
        </w:rPr>
        <w:t xml:space="preserve"> (</w:t>
      </w:r>
      <w:r w:rsidR="009514CB">
        <w:rPr>
          <w:rFonts w:ascii="Arial" w:hAnsi="Arial"/>
          <w:color w:val="000000"/>
          <w:sz w:val="20"/>
          <w:szCs w:val="24"/>
        </w:rPr>
        <w:t xml:space="preserve">Seymour aquifer in </w:t>
      </w:r>
      <w:r w:rsidR="00D17B51">
        <w:rPr>
          <w:rFonts w:ascii="Arial" w:hAnsi="Arial"/>
          <w:color w:val="000000"/>
          <w:sz w:val="20"/>
          <w:szCs w:val="24"/>
        </w:rPr>
        <w:t xml:space="preserve">Childress &amp; Stonewall). </w:t>
      </w:r>
    </w:p>
    <w:p w:rsidR="009514CB" w:rsidRDefault="009514CB" w:rsidP="00703214">
      <w:pPr>
        <w:jc w:val="both"/>
        <w:rPr>
          <w:rFonts w:ascii="Arial" w:hAnsi="Arial"/>
          <w:color w:val="000000"/>
          <w:sz w:val="20"/>
          <w:szCs w:val="24"/>
        </w:rPr>
      </w:pPr>
      <w:r>
        <w:rPr>
          <w:rFonts w:ascii="Arial" w:hAnsi="Arial"/>
          <w:color w:val="000000"/>
          <w:sz w:val="20"/>
          <w:szCs w:val="24"/>
        </w:rPr>
        <w:t xml:space="preserve">The Blaine formation/aquifer accounts for </w:t>
      </w:r>
      <w:r w:rsidR="003D2073">
        <w:rPr>
          <w:rFonts w:ascii="Arial" w:hAnsi="Arial"/>
          <w:color w:val="000000"/>
          <w:sz w:val="20"/>
          <w:szCs w:val="24"/>
        </w:rPr>
        <w:t xml:space="preserve">approximately </w:t>
      </w:r>
      <w:r>
        <w:rPr>
          <w:rFonts w:ascii="Arial" w:hAnsi="Arial"/>
          <w:color w:val="000000"/>
          <w:sz w:val="20"/>
          <w:szCs w:val="24"/>
        </w:rPr>
        <w:t>half or more of the po</w:t>
      </w:r>
      <w:r w:rsidR="003D2073">
        <w:rPr>
          <w:rFonts w:ascii="Arial" w:hAnsi="Arial"/>
          <w:color w:val="000000"/>
          <w:sz w:val="20"/>
          <w:szCs w:val="24"/>
        </w:rPr>
        <w:t xml:space="preserve">tential </w:t>
      </w:r>
      <w:r>
        <w:rPr>
          <w:rFonts w:ascii="Arial" w:hAnsi="Arial"/>
          <w:color w:val="000000"/>
          <w:sz w:val="20"/>
          <w:szCs w:val="24"/>
        </w:rPr>
        <w:t>available groundwater</w:t>
      </w:r>
      <w:r w:rsidR="003D2073">
        <w:rPr>
          <w:rFonts w:ascii="Arial" w:hAnsi="Arial"/>
          <w:color w:val="000000"/>
          <w:sz w:val="20"/>
          <w:szCs w:val="24"/>
        </w:rPr>
        <w:t xml:space="preserve"> </w:t>
      </w:r>
      <w:r w:rsidR="00916CE2">
        <w:rPr>
          <w:rFonts w:ascii="Arial" w:hAnsi="Arial"/>
          <w:color w:val="000000"/>
          <w:sz w:val="20"/>
          <w:szCs w:val="24"/>
        </w:rPr>
        <w:t>(</w:t>
      </w:r>
      <w:r w:rsidR="00E7369B">
        <w:rPr>
          <w:rFonts w:ascii="Arial" w:hAnsi="Arial"/>
          <w:color w:val="000000"/>
          <w:sz w:val="20"/>
          <w:szCs w:val="24"/>
        </w:rPr>
        <w:t xml:space="preserve">based on </w:t>
      </w:r>
      <w:r w:rsidR="00916CE2">
        <w:rPr>
          <w:rFonts w:ascii="Arial" w:hAnsi="Arial"/>
          <w:color w:val="000000"/>
          <w:sz w:val="20"/>
          <w:szCs w:val="24"/>
        </w:rPr>
        <w:t>mapped</w:t>
      </w:r>
      <w:r w:rsidR="00E7369B">
        <w:rPr>
          <w:rFonts w:ascii="Arial" w:hAnsi="Arial"/>
          <w:color w:val="000000"/>
          <w:sz w:val="20"/>
          <w:szCs w:val="24"/>
        </w:rPr>
        <w:t xml:space="preserve"> area) </w:t>
      </w:r>
      <w:r w:rsidR="00916CE2">
        <w:rPr>
          <w:rFonts w:ascii="Arial" w:hAnsi="Arial"/>
          <w:color w:val="000000"/>
          <w:sz w:val="20"/>
          <w:szCs w:val="24"/>
        </w:rPr>
        <w:t>in 3</w:t>
      </w:r>
      <w:r w:rsidR="003D2073">
        <w:rPr>
          <w:rFonts w:ascii="Arial" w:hAnsi="Arial"/>
          <w:color w:val="000000"/>
          <w:sz w:val="20"/>
          <w:szCs w:val="24"/>
        </w:rPr>
        <w:t xml:space="preserve"> co</w:t>
      </w:r>
      <w:r w:rsidR="00916CE2">
        <w:rPr>
          <w:rFonts w:ascii="Arial" w:hAnsi="Arial"/>
          <w:color w:val="000000"/>
          <w:sz w:val="20"/>
          <w:szCs w:val="24"/>
        </w:rPr>
        <w:t xml:space="preserve">unties (Collingsworth, Fisher </w:t>
      </w:r>
      <w:r w:rsidR="003D2073">
        <w:rPr>
          <w:rFonts w:ascii="Arial" w:hAnsi="Arial"/>
          <w:color w:val="000000"/>
          <w:sz w:val="20"/>
          <w:szCs w:val="24"/>
        </w:rPr>
        <w:t>&amp; Hardeman)</w:t>
      </w:r>
      <w:r w:rsidR="00E7369B">
        <w:rPr>
          <w:rFonts w:ascii="Arial" w:hAnsi="Arial"/>
          <w:color w:val="000000"/>
          <w:sz w:val="20"/>
          <w:szCs w:val="24"/>
        </w:rPr>
        <w:t xml:space="preserve"> in GMA 6</w:t>
      </w:r>
      <w:r w:rsidR="003D2073">
        <w:rPr>
          <w:rFonts w:ascii="Arial" w:hAnsi="Arial"/>
          <w:color w:val="000000"/>
          <w:sz w:val="20"/>
          <w:szCs w:val="24"/>
        </w:rPr>
        <w:t>.</w:t>
      </w:r>
    </w:p>
    <w:p w:rsidR="00916CE2" w:rsidRDefault="00916CE2" w:rsidP="00703214">
      <w:pPr>
        <w:jc w:val="both"/>
        <w:rPr>
          <w:rFonts w:ascii="Arial" w:hAnsi="Arial"/>
          <w:color w:val="000000"/>
          <w:sz w:val="20"/>
          <w:szCs w:val="24"/>
        </w:rPr>
      </w:pPr>
      <w:r>
        <w:rPr>
          <w:rFonts w:ascii="Arial" w:hAnsi="Arial"/>
          <w:color w:val="000000"/>
          <w:sz w:val="20"/>
          <w:szCs w:val="24"/>
        </w:rPr>
        <w:t xml:space="preserve">The Blaine formation/aquifer accounts for approximately </w:t>
      </w:r>
      <w:r w:rsidR="00A83CEE">
        <w:rPr>
          <w:rFonts w:ascii="Arial" w:hAnsi="Arial"/>
          <w:color w:val="000000"/>
          <w:sz w:val="20"/>
          <w:szCs w:val="24"/>
        </w:rPr>
        <w:t>one third</w:t>
      </w:r>
      <w:r>
        <w:rPr>
          <w:rFonts w:ascii="Arial" w:hAnsi="Arial"/>
          <w:color w:val="000000"/>
          <w:sz w:val="20"/>
          <w:szCs w:val="24"/>
        </w:rPr>
        <w:t xml:space="preserve"> of the potential available groundwater (based on mapped area) in </w:t>
      </w:r>
      <w:r w:rsidR="00A83CEE">
        <w:rPr>
          <w:rFonts w:ascii="Arial" w:hAnsi="Arial"/>
          <w:color w:val="000000"/>
          <w:sz w:val="20"/>
          <w:szCs w:val="24"/>
        </w:rPr>
        <w:t>Foard</w:t>
      </w:r>
      <w:r>
        <w:rPr>
          <w:rFonts w:ascii="Arial" w:hAnsi="Arial"/>
          <w:color w:val="000000"/>
          <w:sz w:val="20"/>
          <w:szCs w:val="24"/>
        </w:rPr>
        <w:t xml:space="preserve"> </w:t>
      </w:r>
      <w:proofErr w:type="gramStart"/>
      <w:r>
        <w:rPr>
          <w:rFonts w:ascii="Arial" w:hAnsi="Arial"/>
          <w:color w:val="000000"/>
          <w:sz w:val="20"/>
          <w:szCs w:val="24"/>
        </w:rPr>
        <w:t>co</w:t>
      </w:r>
      <w:r w:rsidR="00A83CEE">
        <w:rPr>
          <w:rFonts w:ascii="Arial" w:hAnsi="Arial"/>
          <w:color w:val="000000"/>
          <w:sz w:val="20"/>
          <w:szCs w:val="24"/>
        </w:rPr>
        <w:t>unty</w:t>
      </w:r>
      <w:proofErr w:type="gramEnd"/>
    </w:p>
    <w:p w:rsidR="00E7369B" w:rsidRDefault="00E7369B" w:rsidP="00703214">
      <w:pPr>
        <w:jc w:val="both"/>
        <w:rPr>
          <w:rFonts w:ascii="Arial" w:hAnsi="Arial"/>
          <w:color w:val="000000"/>
          <w:sz w:val="20"/>
          <w:szCs w:val="24"/>
        </w:rPr>
      </w:pPr>
      <w:r>
        <w:rPr>
          <w:rFonts w:ascii="Arial" w:hAnsi="Arial"/>
          <w:color w:val="000000"/>
          <w:sz w:val="20"/>
          <w:szCs w:val="24"/>
        </w:rPr>
        <w:t xml:space="preserve">Four counties </w:t>
      </w:r>
      <w:r w:rsidR="00916CE2">
        <w:rPr>
          <w:rFonts w:ascii="Arial" w:hAnsi="Arial"/>
          <w:color w:val="000000"/>
          <w:sz w:val="20"/>
          <w:szCs w:val="24"/>
        </w:rPr>
        <w:t xml:space="preserve">have minor or insignificant </w:t>
      </w:r>
      <w:r w:rsidR="00A83CEE">
        <w:rPr>
          <w:rFonts w:ascii="Arial" w:hAnsi="Arial"/>
          <w:color w:val="000000"/>
          <w:sz w:val="20"/>
          <w:szCs w:val="24"/>
        </w:rPr>
        <w:t xml:space="preserve">mapped </w:t>
      </w:r>
      <w:r w:rsidR="00916CE2">
        <w:rPr>
          <w:rFonts w:ascii="Arial" w:hAnsi="Arial"/>
          <w:color w:val="000000"/>
          <w:sz w:val="20"/>
          <w:szCs w:val="24"/>
        </w:rPr>
        <w:t xml:space="preserve">areas of Blaine formation (Hall, Kent, Knox, </w:t>
      </w:r>
      <w:proofErr w:type="gramStart"/>
      <w:r w:rsidR="00916CE2">
        <w:rPr>
          <w:rFonts w:ascii="Arial" w:hAnsi="Arial"/>
          <w:color w:val="000000"/>
          <w:sz w:val="20"/>
          <w:szCs w:val="24"/>
        </w:rPr>
        <w:t>Jones</w:t>
      </w:r>
      <w:proofErr w:type="gramEnd"/>
      <w:r w:rsidR="00916CE2">
        <w:rPr>
          <w:rFonts w:ascii="Arial" w:hAnsi="Arial"/>
          <w:color w:val="000000"/>
          <w:sz w:val="20"/>
          <w:szCs w:val="24"/>
        </w:rPr>
        <w:t>).</w:t>
      </w:r>
    </w:p>
    <w:p w:rsidR="00916CE2" w:rsidRDefault="00916CE2" w:rsidP="00703214">
      <w:pPr>
        <w:jc w:val="both"/>
        <w:rPr>
          <w:rFonts w:ascii="Arial" w:hAnsi="Arial"/>
          <w:color w:val="000000"/>
          <w:sz w:val="20"/>
          <w:szCs w:val="24"/>
        </w:rPr>
      </w:pPr>
    </w:p>
    <w:p w:rsidR="00916CE2" w:rsidRDefault="00916CE2" w:rsidP="00703214">
      <w:pPr>
        <w:jc w:val="both"/>
        <w:rPr>
          <w:rFonts w:ascii="Arial" w:hAnsi="Arial"/>
          <w:color w:val="000000"/>
          <w:sz w:val="20"/>
          <w:szCs w:val="24"/>
        </w:rPr>
      </w:pPr>
      <w:r>
        <w:rPr>
          <w:rFonts w:ascii="Arial" w:hAnsi="Arial"/>
          <w:color w:val="000000"/>
          <w:sz w:val="20"/>
          <w:szCs w:val="24"/>
        </w:rPr>
        <w:t>Responses</w:t>
      </w:r>
      <w:r w:rsidR="00A83CEE">
        <w:rPr>
          <w:rFonts w:ascii="Arial" w:hAnsi="Arial"/>
          <w:color w:val="000000"/>
          <w:sz w:val="20"/>
          <w:szCs w:val="24"/>
        </w:rPr>
        <w:t xml:space="preserve"> to the question</w:t>
      </w:r>
      <w:r>
        <w:rPr>
          <w:rFonts w:ascii="Arial" w:hAnsi="Arial"/>
          <w:color w:val="000000"/>
          <w:sz w:val="20"/>
          <w:szCs w:val="24"/>
        </w:rPr>
        <w:t>:  “How should we define significant impact</w:t>
      </w:r>
      <w:proofErr w:type="gramStart"/>
      <w:r>
        <w:rPr>
          <w:rFonts w:ascii="Arial" w:hAnsi="Arial"/>
          <w:color w:val="000000"/>
          <w:sz w:val="20"/>
          <w:szCs w:val="24"/>
        </w:rPr>
        <w:t>? ”</w:t>
      </w:r>
      <w:proofErr w:type="gramEnd"/>
    </w:p>
    <w:p w:rsidR="00916CE2" w:rsidRDefault="00916CE2" w:rsidP="00703214">
      <w:pPr>
        <w:jc w:val="both"/>
        <w:rPr>
          <w:rFonts w:ascii="Arial" w:hAnsi="Arial"/>
          <w:color w:val="000000"/>
          <w:sz w:val="20"/>
          <w:szCs w:val="24"/>
        </w:rPr>
      </w:pPr>
      <w:r>
        <w:rPr>
          <w:rFonts w:ascii="Arial" w:hAnsi="Arial"/>
          <w:color w:val="000000"/>
          <w:sz w:val="20"/>
          <w:szCs w:val="24"/>
        </w:rPr>
        <w:tab/>
        <w:t>1.  Designation of a brackish production zone in any county where the subject aquifer is the only major or minor aquifer available is a significant impact.</w:t>
      </w:r>
    </w:p>
    <w:p w:rsidR="00916CE2" w:rsidRDefault="00916CE2" w:rsidP="00703214">
      <w:pPr>
        <w:jc w:val="both"/>
        <w:rPr>
          <w:rFonts w:ascii="Arial" w:hAnsi="Arial"/>
          <w:color w:val="000000"/>
          <w:sz w:val="20"/>
          <w:szCs w:val="24"/>
        </w:rPr>
      </w:pPr>
      <w:r>
        <w:rPr>
          <w:rFonts w:ascii="Arial" w:hAnsi="Arial"/>
          <w:color w:val="000000"/>
          <w:sz w:val="20"/>
          <w:szCs w:val="24"/>
        </w:rPr>
        <w:tab/>
        <w:t xml:space="preserve">2.  Designation of a brackish production zone in any county where the subject aquifer </w:t>
      </w:r>
      <w:r w:rsidR="003C1DEF">
        <w:rPr>
          <w:rFonts w:ascii="Arial" w:hAnsi="Arial"/>
          <w:color w:val="000000"/>
          <w:sz w:val="20"/>
          <w:szCs w:val="24"/>
        </w:rPr>
        <w:t>covers one fourth</w:t>
      </w:r>
      <w:r w:rsidR="00A83CEE">
        <w:rPr>
          <w:rFonts w:ascii="Arial" w:hAnsi="Arial"/>
          <w:color w:val="000000"/>
          <w:sz w:val="20"/>
          <w:szCs w:val="24"/>
        </w:rPr>
        <w:t xml:space="preserve"> or more of</w:t>
      </w:r>
      <w:r>
        <w:rPr>
          <w:rFonts w:ascii="Arial" w:hAnsi="Arial"/>
          <w:color w:val="000000"/>
          <w:sz w:val="20"/>
          <w:szCs w:val="24"/>
        </w:rPr>
        <w:t xml:space="preserve"> the county area</w:t>
      </w:r>
      <w:r w:rsidR="003C1DEF">
        <w:rPr>
          <w:rFonts w:ascii="Arial" w:hAnsi="Arial"/>
          <w:color w:val="000000"/>
          <w:sz w:val="20"/>
          <w:szCs w:val="24"/>
        </w:rPr>
        <w:t xml:space="preserve"> is a significant impact</w:t>
      </w:r>
      <w:r>
        <w:rPr>
          <w:rFonts w:ascii="Arial" w:hAnsi="Arial"/>
          <w:color w:val="000000"/>
          <w:sz w:val="20"/>
          <w:szCs w:val="24"/>
        </w:rPr>
        <w:t>.</w:t>
      </w:r>
    </w:p>
    <w:p w:rsidR="002D36D4" w:rsidRDefault="002D36D4" w:rsidP="00703214">
      <w:pPr>
        <w:jc w:val="both"/>
        <w:rPr>
          <w:rFonts w:ascii="Arial" w:hAnsi="Arial"/>
          <w:color w:val="000000"/>
          <w:sz w:val="20"/>
          <w:szCs w:val="24"/>
        </w:rPr>
      </w:pPr>
      <w:r>
        <w:rPr>
          <w:rFonts w:ascii="Arial" w:hAnsi="Arial"/>
          <w:color w:val="000000"/>
          <w:sz w:val="20"/>
          <w:szCs w:val="24"/>
        </w:rPr>
        <w:t xml:space="preserve">Responses to the question: “how should we define “separated by </w:t>
      </w:r>
      <w:proofErr w:type="spellStart"/>
      <w:r>
        <w:rPr>
          <w:rFonts w:ascii="Arial" w:hAnsi="Arial"/>
          <w:color w:val="000000"/>
          <w:sz w:val="20"/>
          <w:szCs w:val="24"/>
        </w:rPr>
        <w:t>hydrogeologic</w:t>
      </w:r>
      <w:proofErr w:type="spellEnd"/>
      <w:r>
        <w:rPr>
          <w:rFonts w:ascii="Arial" w:hAnsi="Arial"/>
          <w:color w:val="000000"/>
          <w:sz w:val="20"/>
          <w:szCs w:val="24"/>
        </w:rPr>
        <w:t xml:space="preserve"> barriers sufficient to prevent significant impacts</w:t>
      </w:r>
      <w:r w:rsidR="00ED6127">
        <w:rPr>
          <w:rFonts w:ascii="Arial" w:hAnsi="Arial"/>
          <w:color w:val="000000"/>
          <w:sz w:val="20"/>
          <w:szCs w:val="24"/>
        </w:rPr>
        <w:t>?</w:t>
      </w:r>
      <w:proofErr w:type="gramStart"/>
      <w:r w:rsidR="00ED6127">
        <w:rPr>
          <w:rFonts w:ascii="Arial" w:hAnsi="Arial"/>
          <w:color w:val="000000"/>
          <w:sz w:val="20"/>
          <w:szCs w:val="24"/>
        </w:rPr>
        <w:t>”</w:t>
      </w:r>
      <w:proofErr w:type="gramEnd"/>
    </w:p>
    <w:p w:rsidR="00ED6127" w:rsidRDefault="00ED6127" w:rsidP="00703214">
      <w:pPr>
        <w:jc w:val="both"/>
        <w:rPr>
          <w:rFonts w:ascii="Arial" w:hAnsi="Arial"/>
          <w:color w:val="000000"/>
          <w:sz w:val="20"/>
          <w:szCs w:val="24"/>
        </w:rPr>
      </w:pPr>
      <w:r>
        <w:rPr>
          <w:rFonts w:ascii="Arial" w:hAnsi="Arial"/>
          <w:color w:val="000000"/>
          <w:sz w:val="20"/>
          <w:szCs w:val="24"/>
        </w:rPr>
        <w:tab/>
        <w:t xml:space="preserve">1.  </w:t>
      </w:r>
      <w:proofErr w:type="spellStart"/>
      <w:r>
        <w:rPr>
          <w:rFonts w:ascii="Arial" w:hAnsi="Arial"/>
          <w:color w:val="000000"/>
          <w:sz w:val="20"/>
          <w:szCs w:val="24"/>
        </w:rPr>
        <w:t>Hydrogeologic</w:t>
      </w:r>
      <w:proofErr w:type="spellEnd"/>
      <w:r>
        <w:rPr>
          <w:rFonts w:ascii="Arial" w:hAnsi="Arial"/>
          <w:color w:val="000000"/>
          <w:sz w:val="20"/>
          <w:szCs w:val="24"/>
        </w:rPr>
        <w:t xml:space="preserve"> barriers should not be used to prevent impacts to karst</w:t>
      </w:r>
      <w:r w:rsidR="003C1DEF">
        <w:rPr>
          <w:rFonts w:ascii="Arial" w:hAnsi="Arial"/>
          <w:color w:val="000000"/>
          <w:sz w:val="20"/>
          <w:szCs w:val="24"/>
        </w:rPr>
        <w:t>, faulted,</w:t>
      </w:r>
      <w:r>
        <w:rPr>
          <w:rFonts w:ascii="Arial" w:hAnsi="Arial"/>
          <w:color w:val="000000"/>
          <w:sz w:val="20"/>
          <w:szCs w:val="24"/>
        </w:rPr>
        <w:t xml:space="preserve"> or fractured rock aquifers</w:t>
      </w:r>
      <w:r w:rsidR="003C1DEF">
        <w:rPr>
          <w:rFonts w:ascii="Arial" w:hAnsi="Arial"/>
          <w:color w:val="000000"/>
          <w:sz w:val="20"/>
          <w:szCs w:val="24"/>
        </w:rPr>
        <w:t>.</w:t>
      </w:r>
    </w:p>
    <w:p w:rsidR="002D36D4" w:rsidRDefault="00ED6127" w:rsidP="00703214">
      <w:pPr>
        <w:jc w:val="both"/>
        <w:rPr>
          <w:rFonts w:ascii="Arial" w:hAnsi="Arial"/>
          <w:color w:val="000000"/>
          <w:sz w:val="20"/>
          <w:szCs w:val="24"/>
        </w:rPr>
      </w:pPr>
      <w:r>
        <w:rPr>
          <w:rFonts w:ascii="Arial" w:hAnsi="Arial"/>
          <w:color w:val="000000"/>
          <w:sz w:val="20"/>
          <w:szCs w:val="24"/>
        </w:rPr>
        <w:tab/>
        <w:t xml:space="preserve">2.  There must be a significant physical barrier such as </w:t>
      </w:r>
      <w:r w:rsidR="003C1DEF">
        <w:rPr>
          <w:rFonts w:ascii="Arial" w:hAnsi="Arial"/>
          <w:color w:val="000000"/>
          <w:sz w:val="20"/>
          <w:szCs w:val="24"/>
        </w:rPr>
        <w:t>non-</w:t>
      </w:r>
      <w:r>
        <w:rPr>
          <w:rFonts w:ascii="Arial" w:hAnsi="Arial"/>
          <w:color w:val="000000"/>
          <w:sz w:val="20"/>
          <w:szCs w:val="24"/>
        </w:rPr>
        <w:t xml:space="preserve">fractured clay of at least 100 feet measured vertical separation between aquifers. </w:t>
      </w:r>
    </w:p>
    <w:p w:rsidR="00A83CEE" w:rsidRDefault="002D36D4" w:rsidP="00703214">
      <w:pPr>
        <w:jc w:val="both"/>
        <w:rPr>
          <w:rFonts w:ascii="Arial" w:hAnsi="Arial"/>
          <w:color w:val="000000"/>
          <w:sz w:val="20"/>
          <w:szCs w:val="24"/>
        </w:rPr>
      </w:pPr>
      <w:r>
        <w:rPr>
          <w:rFonts w:ascii="Arial" w:hAnsi="Arial"/>
          <w:color w:val="000000"/>
          <w:sz w:val="20"/>
          <w:szCs w:val="24"/>
        </w:rPr>
        <w:t>R</w:t>
      </w:r>
      <w:r w:rsidR="00A83CEE">
        <w:rPr>
          <w:rFonts w:ascii="Arial" w:hAnsi="Arial"/>
          <w:color w:val="000000"/>
          <w:sz w:val="20"/>
          <w:szCs w:val="24"/>
        </w:rPr>
        <w:t>esponses to the question:  How should we define “significant source” of water supply for municipal, domestic, or agricultural purposes</w:t>
      </w:r>
      <w:r>
        <w:rPr>
          <w:rFonts w:ascii="Arial" w:hAnsi="Arial"/>
          <w:color w:val="000000"/>
          <w:sz w:val="20"/>
          <w:szCs w:val="24"/>
        </w:rPr>
        <w:t>?”</w:t>
      </w:r>
    </w:p>
    <w:p w:rsidR="002D36D4" w:rsidRDefault="002D36D4" w:rsidP="00703214">
      <w:pPr>
        <w:jc w:val="both"/>
        <w:rPr>
          <w:rFonts w:ascii="Arial" w:hAnsi="Arial"/>
          <w:color w:val="000000"/>
          <w:sz w:val="20"/>
          <w:szCs w:val="24"/>
        </w:rPr>
      </w:pPr>
      <w:r>
        <w:rPr>
          <w:rFonts w:ascii="Arial" w:hAnsi="Arial"/>
          <w:color w:val="000000"/>
          <w:sz w:val="20"/>
          <w:szCs w:val="24"/>
        </w:rPr>
        <w:tab/>
        <w:t>1.  Any county where the subject aquifer is the only major or minor aquifer available constitutes a significant source.</w:t>
      </w:r>
    </w:p>
    <w:p w:rsidR="002D36D4" w:rsidRDefault="002D36D4" w:rsidP="00703214">
      <w:pPr>
        <w:jc w:val="both"/>
        <w:rPr>
          <w:rFonts w:ascii="Arial" w:hAnsi="Arial"/>
          <w:color w:val="000000"/>
          <w:sz w:val="20"/>
          <w:szCs w:val="24"/>
        </w:rPr>
      </w:pPr>
      <w:r>
        <w:rPr>
          <w:rFonts w:ascii="Arial" w:hAnsi="Arial"/>
          <w:color w:val="000000"/>
          <w:sz w:val="20"/>
          <w:szCs w:val="24"/>
        </w:rPr>
        <w:tab/>
        <w:t>2.  Any county where the subject aquifer covers one fourth or more of the county area constitutes a significant source.</w:t>
      </w:r>
    </w:p>
    <w:p w:rsidR="00ED6127" w:rsidRDefault="00ED6127" w:rsidP="00703214">
      <w:pPr>
        <w:jc w:val="both"/>
        <w:rPr>
          <w:rFonts w:ascii="Arial" w:hAnsi="Arial"/>
          <w:color w:val="000000"/>
          <w:sz w:val="20"/>
          <w:szCs w:val="24"/>
        </w:rPr>
      </w:pPr>
      <w:r>
        <w:rPr>
          <w:rFonts w:ascii="Arial" w:hAnsi="Arial"/>
          <w:color w:val="000000"/>
          <w:sz w:val="20"/>
          <w:szCs w:val="24"/>
        </w:rPr>
        <w:t>SUMMARY</w:t>
      </w:r>
    </w:p>
    <w:p w:rsidR="00ED6127" w:rsidRDefault="00ED6127" w:rsidP="00703214">
      <w:pPr>
        <w:jc w:val="both"/>
        <w:rPr>
          <w:rFonts w:ascii="Arial" w:hAnsi="Arial"/>
          <w:color w:val="000000"/>
          <w:sz w:val="20"/>
          <w:szCs w:val="24"/>
        </w:rPr>
      </w:pPr>
      <w:r>
        <w:rPr>
          <w:rFonts w:ascii="Arial" w:hAnsi="Arial"/>
          <w:color w:val="000000"/>
          <w:sz w:val="20"/>
          <w:szCs w:val="24"/>
        </w:rPr>
        <w:t>1.  GMA 6 opposes the establishment of any designated “brackish water production zone” in the Blaine formation/aquifer.</w:t>
      </w:r>
    </w:p>
    <w:p w:rsidR="00ED6127" w:rsidRDefault="00ED6127" w:rsidP="00703214">
      <w:pPr>
        <w:jc w:val="both"/>
        <w:rPr>
          <w:rFonts w:ascii="Arial" w:hAnsi="Arial"/>
          <w:color w:val="000000"/>
          <w:sz w:val="20"/>
          <w:szCs w:val="24"/>
        </w:rPr>
      </w:pPr>
      <w:r>
        <w:rPr>
          <w:rFonts w:ascii="Arial" w:hAnsi="Arial"/>
          <w:color w:val="000000"/>
          <w:sz w:val="20"/>
          <w:szCs w:val="24"/>
        </w:rPr>
        <w:t>2.  The Blaine formation/aquifer is the sole potential groundwater source in significant areas of GMA 6.</w:t>
      </w:r>
    </w:p>
    <w:p w:rsidR="003D2073" w:rsidRDefault="002247BA" w:rsidP="00703214">
      <w:pPr>
        <w:jc w:val="both"/>
        <w:rPr>
          <w:rFonts w:ascii="Arial" w:hAnsi="Arial"/>
          <w:color w:val="000000"/>
          <w:sz w:val="20"/>
          <w:szCs w:val="24"/>
        </w:rPr>
      </w:pPr>
      <w:r>
        <w:rPr>
          <w:rFonts w:ascii="Arial" w:hAnsi="Arial"/>
          <w:color w:val="000000"/>
          <w:sz w:val="20"/>
          <w:szCs w:val="24"/>
        </w:rPr>
        <w:t>3.  Groundwater assets are limited in GMA 6.  Availability of any amount of groundwater from the mapped Blaine formation is questionable in many areas.</w:t>
      </w:r>
    </w:p>
    <w:p w:rsidR="002247BA" w:rsidRDefault="002247BA" w:rsidP="00703214">
      <w:pPr>
        <w:jc w:val="both"/>
        <w:rPr>
          <w:rFonts w:ascii="Arial" w:hAnsi="Arial"/>
          <w:color w:val="000000"/>
          <w:sz w:val="20"/>
          <w:szCs w:val="24"/>
        </w:rPr>
      </w:pPr>
      <w:r>
        <w:rPr>
          <w:rFonts w:ascii="Arial" w:hAnsi="Arial"/>
          <w:color w:val="000000"/>
          <w:sz w:val="20"/>
          <w:szCs w:val="24"/>
        </w:rPr>
        <w:t xml:space="preserve">4. </w:t>
      </w:r>
      <w:r w:rsidR="00144FBE">
        <w:rPr>
          <w:rFonts w:ascii="Arial" w:hAnsi="Arial"/>
          <w:color w:val="000000"/>
          <w:sz w:val="20"/>
          <w:szCs w:val="24"/>
        </w:rPr>
        <w:t xml:space="preserve"> </w:t>
      </w:r>
      <w:r>
        <w:rPr>
          <w:rFonts w:ascii="Arial" w:hAnsi="Arial"/>
          <w:color w:val="000000"/>
          <w:sz w:val="20"/>
          <w:szCs w:val="24"/>
        </w:rPr>
        <w:t xml:space="preserve">In the areas where the Blaine is associated with the Seymour aquifer, the only other aquifer of significance near the Blaine, there is no physical or </w:t>
      </w:r>
      <w:proofErr w:type="spellStart"/>
      <w:r>
        <w:rPr>
          <w:rFonts w:ascii="Arial" w:hAnsi="Arial"/>
          <w:color w:val="000000"/>
          <w:sz w:val="20"/>
          <w:szCs w:val="24"/>
        </w:rPr>
        <w:t>hydrogeologic</w:t>
      </w:r>
      <w:proofErr w:type="spellEnd"/>
      <w:r>
        <w:rPr>
          <w:rFonts w:ascii="Arial" w:hAnsi="Arial"/>
          <w:color w:val="000000"/>
          <w:sz w:val="20"/>
          <w:szCs w:val="24"/>
        </w:rPr>
        <w:t xml:space="preserve"> boundary between the 2 aquifers.</w:t>
      </w:r>
    </w:p>
    <w:p w:rsidR="00144FBE" w:rsidRDefault="009B77C7" w:rsidP="00703214">
      <w:pPr>
        <w:jc w:val="both"/>
        <w:rPr>
          <w:rFonts w:ascii="Arial" w:hAnsi="Arial"/>
          <w:color w:val="000000"/>
          <w:sz w:val="20"/>
          <w:szCs w:val="24"/>
        </w:rPr>
      </w:pPr>
      <w:r>
        <w:rPr>
          <w:rFonts w:ascii="Arial" w:hAnsi="Arial"/>
          <w:color w:val="000000"/>
          <w:sz w:val="20"/>
          <w:szCs w:val="24"/>
        </w:rPr>
        <w:t xml:space="preserve">5.  </w:t>
      </w:r>
      <w:r w:rsidR="00580775">
        <w:rPr>
          <w:rFonts w:ascii="Arial" w:hAnsi="Arial"/>
          <w:color w:val="000000"/>
          <w:sz w:val="20"/>
          <w:szCs w:val="24"/>
        </w:rPr>
        <w:t>The Blaine formation/aquifer is a significant, and often the only, water supply for rural domestic &amp; livestock water supply, irrigation, and municipal water supply in GMA 6</w:t>
      </w:r>
      <w:r w:rsidR="00144FBE">
        <w:rPr>
          <w:rFonts w:ascii="Arial" w:hAnsi="Arial"/>
          <w:color w:val="000000"/>
          <w:sz w:val="20"/>
          <w:szCs w:val="24"/>
        </w:rPr>
        <w:t xml:space="preserve">. </w:t>
      </w:r>
    </w:p>
    <w:p w:rsidR="002247BA" w:rsidRDefault="00144FBE" w:rsidP="00703214">
      <w:pPr>
        <w:jc w:val="both"/>
        <w:rPr>
          <w:rFonts w:ascii="Arial" w:hAnsi="Arial"/>
          <w:color w:val="000000"/>
          <w:sz w:val="20"/>
          <w:szCs w:val="24"/>
        </w:rPr>
      </w:pPr>
      <w:r>
        <w:rPr>
          <w:rFonts w:ascii="Arial" w:hAnsi="Arial"/>
          <w:color w:val="000000"/>
          <w:sz w:val="20"/>
          <w:szCs w:val="24"/>
        </w:rPr>
        <w:t xml:space="preserve">6.  </w:t>
      </w:r>
      <w:r w:rsidR="002247BA">
        <w:rPr>
          <w:rFonts w:ascii="Arial" w:hAnsi="Arial"/>
          <w:color w:val="000000"/>
          <w:sz w:val="20"/>
          <w:szCs w:val="24"/>
        </w:rPr>
        <w:t>GMA 6 opposes the proposed use of the Blaine as an injection site for wastes from other brackish groundwater treatment processes located within or outside the GMA.</w:t>
      </w:r>
    </w:p>
    <w:p w:rsidR="009514CB" w:rsidRDefault="009514CB" w:rsidP="00703214">
      <w:pPr>
        <w:jc w:val="both"/>
        <w:rPr>
          <w:rFonts w:ascii="Arial" w:hAnsi="Arial"/>
          <w:color w:val="000000"/>
          <w:sz w:val="20"/>
          <w:szCs w:val="24"/>
        </w:rPr>
      </w:pPr>
    </w:p>
    <w:p w:rsidR="000C6B7A" w:rsidRDefault="000C6B7A" w:rsidP="000C6B7A">
      <w:pPr>
        <w:spacing w:after="0"/>
        <w:jc w:val="both"/>
        <w:rPr>
          <w:rFonts w:ascii="Arial" w:hAnsi="Arial"/>
          <w:color w:val="000000"/>
          <w:sz w:val="20"/>
          <w:szCs w:val="24"/>
        </w:rPr>
      </w:pPr>
      <w:r>
        <w:rPr>
          <w:rFonts w:ascii="Arial" w:hAnsi="Arial"/>
          <w:color w:val="000000"/>
          <w:sz w:val="20"/>
          <w:szCs w:val="24"/>
        </w:rPr>
        <w:t>Ray Brady</w:t>
      </w:r>
    </w:p>
    <w:p w:rsidR="000C6B7A" w:rsidRDefault="000C6B7A" w:rsidP="000C6B7A">
      <w:pPr>
        <w:spacing w:after="0"/>
        <w:jc w:val="both"/>
        <w:rPr>
          <w:rFonts w:ascii="Arial" w:hAnsi="Arial"/>
          <w:color w:val="000000"/>
          <w:sz w:val="20"/>
          <w:szCs w:val="24"/>
        </w:rPr>
      </w:pPr>
      <w:r>
        <w:rPr>
          <w:rFonts w:ascii="Arial" w:hAnsi="Arial"/>
          <w:color w:val="000000"/>
          <w:sz w:val="20"/>
          <w:szCs w:val="24"/>
        </w:rPr>
        <w:t xml:space="preserve">Box 59 </w:t>
      </w:r>
    </w:p>
    <w:p w:rsidR="000C6B7A" w:rsidRDefault="000C6B7A" w:rsidP="000C6B7A">
      <w:pPr>
        <w:spacing w:after="0"/>
        <w:jc w:val="both"/>
        <w:rPr>
          <w:rFonts w:ascii="Arial" w:hAnsi="Arial"/>
          <w:color w:val="000000"/>
          <w:sz w:val="20"/>
          <w:szCs w:val="24"/>
        </w:rPr>
      </w:pPr>
      <w:r>
        <w:rPr>
          <w:rFonts w:ascii="Arial" w:hAnsi="Arial"/>
          <w:color w:val="000000"/>
          <w:sz w:val="20"/>
          <w:szCs w:val="24"/>
        </w:rPr>
        <w:t>Floydada, TX  79235</w:t>
      </w:r>
    </w:p>
    <w:p w:rsidR="002E2535" w:rsidRPr="00703214" w:rsidRDefault="000C6B7A" w:rsidP="003C1DEF">
      <w:pPr>
        <w:spacing w:after="0"/>
        <w:jc w:val="both"/>
        <w:rPr>
          <w:rFonts w:ascii="Arial" w:hAnsi="Arial"/>
          <w:color w:val="000000"/>
          <w:sz w:val="20"/>
          <w:szCs w:val="24"/>
        </w:rPr>
      </w:pPr>
      <w:r>
        <w:rPr>
          <w:rFonts w:ascii="Arial" w:hAnsi="Arial"/>
          <w:color w:val="000000"/>
          <w:sz w:val="20"/>
          <w:szCs w:val="24"/>
        </w:rPr>
        <w:t>rbrady5602@earthlink.net</w:t>
      </w:r>
    </w:p>
    <w:sectPr w:rsidR="002E2535" w:rsidRPr="007032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7A8"/>
    <w:rsid w:val="000C6B7A"/>
    <w:rsid w:val="00144FBE"/>
    <w:rsid w:val="002247BA"/>
    <w:rsid w:val="002D36D4"/>
    <w:rsid w:val="002E2535"/>
    <w:rsid w:val="002F3BE0"/>
    <w:rsid w:val="003561E9"/>
    <w:rsid w:val="003C1DEF"/>
    <w:rsid w:val="003D2073"/>
    <w:rsid w:val="0043776C"/>
    <w:rsid w:val="00580775"/>
    <w:rsid w:val="006836A9"/>
    <w:rsid w:val="00703214"/>
    <w:rsid w:val="00916CE2"/>
    <w:rsid w:val="009514CB"/>
    <w:rsid w:val="009B77C7"/>
    <w:rsid w:val="00A83CEE"/>
    <w:rsid w:val="00A84345"/>
    <w:rsid w:val="00BF08DA"/>
    <w:rsid w:val="00D17B51"/>
    <w:rsid w:val="00E7369B"/>
    <w:rsid w:val="00E827A8"/>
    <w:rsid w:val="00ED61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5A79D1-DF90-4A26-AE32-E35AE1710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827</Words>
  <Characters>4716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RMBJ</dc:creator>
  <cp:lastModifiedBy>Mike McGuire</cp:lastModifiedBy>
  <cp:revision>2</cp:revision>
  <dcterms:created xsi:type="dcterms:W3CDTF">2015-10-30T21:26:00Z</dcterms:created>
  <dcterms:modified xsi:type="dcterms:W3CDTF">2015-10-30T21:26:00Z</dcterms:modified>
</cp:coreProperties>
</file>