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DA3" w:rsidRDefault="00422DA3">
      <w:bookmarkStart w:id="0" w:name="_GoBack"/>
      <w:bookmarkEnd w:id="0"/>
    </w:p>
    <w:p w:rsidR="00EB3228" w:rsidRDefault="00EB3228"/>
    <w:p w:rsidR="00EB3228" w:rsidRDefault="00EB3228"/>
    <w:p w:rsidR="00EB3228" w:rsidRDefault="00E63689" w:rsidP="00EB3228">
      <w:pPr>
        <w:jc w:val="center"/>
      </w:pPr>
      <w:r>
        <w:t>November 24</w:t>
      </w:r>
      <w:r w:rsidR="00EB3228">
        <w:t>, 2015</w:t>
      </w:r>
    </w:p>
    <w:p w:rsidR="00EB3228" w:rsidRDefault="00EB3228" w:rsidP="00EB3228">
      <w:pPr>
        <w:spacing w:after="0"/>
      </w:pPr>
      <w:r>
        <w:t xml:space="preserve">Dr. Sanjeev Kalaswad, Director </w:t>
      </w:r>
      <w:r>
        <w:tab/>
      </w:r>
      <w:r>
        <w:tab/>
      </w:r>
      <w:r>
        <w:tab/>
      </w:r>
      <w:r>
        <w:tab/>
      </w:r>
      <w:r w:rsidR="00802F8F" w:rsidRPr="00EB3228">
        <w:rPr>
          <w:b/>
        </w:rPr>
        <w:t>via</w:t>
      </w:r>
      <w:r w:rsidR="00802F8F">
        <w:rPr>
          <w:b/>
        </w:rPr>
        <w:t xml:space="preserve"> e</w:t>
      </w:r>
      <w:r w:rsidR="00E63689">
        <w:rPr>
          <w:b/>
        </w:rPr>
        <w:t>mail:  s</w:t>
      </w:r>
      <w:r w:rsidRPr="00EB3228">
        <w:rPr>
          <w:b/>
        </w:rPr>
        <w:t>anjeev.kalaswad@twdb.texas.gov</w:t>
      </w:r>
    </w:p>
    <w:p w:rsidR="00EB3228" w:rsidRDefault="00EB3228" w:rsidP="00EB3228">
      <w:pPr>
        <w:spacing w:after="0"/>
      </w:pPr>
      <w:r>
        <w:t>Conservation &amp; Innovative Water Technologies</w:t>
      </w:r>
    </w:p>
    <w:p w:rsidR="00EB3228" w:rsidRDefault="00EB3228" w:rsidP="00EB3228">
      <w:pPr>
        <w:spacing w:after="0"/>
      </w:pPr>
      <w:r>
        <w:t>Texas Water Development Board</w:t>
      </w:r>
    </w:p>
    <w:p w:rsidR="00EB3228" w:rsidRDefault="00EB3228" w:rsidP="00EB3228">
      <w:pPr>
        <w:spacing w:after="0"/>
      </w:pPr>
      <w:r>
        <w:t>P.O. Box 13231</w:t>
      </w:r>
    </w:p>
    <w:p w:rsidR="00EB3228" w:rsidRDefault="00EB3228" w:rsidP="00EB3228">
      <w:pPr>
        <w:spacing w:after="0"/>
      </w:pPr>
      <w:r>
        <w:t>Austin, Texas 78711-3231</w:t>
      </w:r>
      <w:r w:rsidR="00700E4F">
        <w:tab/>
      </w:r>
    </w:p>
    <w:p w:rsidR="00EB3228" w:rsidRDefault="00EB3228" w:rsidP="00EB3228">
      <w:pPr>
        <w:spacing w:after="0"/>
      </w:pPr>
    </w:p>
    <w:p w:rsidR="00EB3228" w:rsidRDefault="00EB3228" w:rsidP="00EB3228">
      <w:pPr>
        <w:spacing w:after="0"/>
      </w:pPr>
      <w:r>
        <w:tab/>
        <w:t>Re:</w:t>
      </w:r>
      <w:r>
        <w:tab/>
        <w:t xml:space="preserve">Input on HB 30 </w:t>
      </w:r>
      <w:r w:rsidR="00700E4F">
        <w:t>(Brackish Groundwater Production Zones)</w:t>
      </w:r>
    </w:p>
    <w:p w:rsidR="00700E4F" w:rsidRDefault="00700E4F" w:rsidP="00EB3228">
      <w:pPr>
        <w:spacing w:after="0"/>
      </w:pPr>
    </w:p>
    <w:p w:rsidR="00700E4F" w:rsidRDefault="00700E4F" w:rsidP="00D72268">
      <w:pPr>
        <w:spacing w:after="0"/>
        <w:jc w:val="both"/>
      </w:pPr>
      <w:r>
        <w:t>Dear Mr. Kalaswad,</w:t>
      </w:r>
    </w:p>
    <w:p w:rsidR="00700E4F" w:rsidRDefault="00700E4F" w:rsidP="00D72268">
      <w:pPr>
        <w:spacing w:after="0"/>
        <w:jc w:val="both"/>
      </w:pPr>
    </w:p>
    <w:p w:rsidR="00DA1207" w:rsidRDefault="00C750AD" w:rsidP="00D72268">
      <w:pPr>
        <w:spacing w:after="0"/>
        <w:jc w:val="both"/>
      </w:pPr>
      <w:r>
        <w:t xml:space="preserve">Thank you for the </w:t>
      </w:r>
      <w:r w:rsidR="00700E4F">
        <w:t>opportunity to provide input to the Texas Water Development Board (TWDB) regarding the identification and designation of local or regional brackish groundwater production zones</w:t>
      </w:r>
      <w:r>
        <w:t xml:space="preserve"> pursuant to House Bill 30 passed by the 84</w:t>
      </w:r>
      <w:r w:rsidRPr="00C750AD">
        <w:rPr>
          <w:vertAlign w:val="superscript"/>
        </w:rPr>
        <w:t>th</w:t>
      </w:r>
      <w:r>
        <w:t xml:space="preserve"> Legislature earlier this year</w:t>
      </w:r>
      <w:r w:rsidR="00700E4F">
        <w:t xml:space="preserve">.  </w:t>
      </w:r>
      <w:r w:rsidR="00A6695A">
        <w:t xml:space="preserve">In the public meeting on October </w:t>
      </w:r>
      <w:r w:rsidR="00DA1207">
        <w:t xml:space="preserve">26, 2015, the TWDB </w:t>
      </w:r>
      <w:r w:rsidR="00A6695A">
        <w:t>a</w:t>
      </w:r>
      <w:r>
        <w:t xml:space="preserve">sked for input regarding defining several </w:t>
      </w:r>
      <w:r w:rsidR="00DA1207">
        <w:t>terms in the bill.</w:t>
      </w:r>
    </w:p>
    <w:p w:rsidR="00DA1207" w:rsidRDefault="00DA1207" w:rsidP="00D72268">
      <w:pPr>
        <w:spacing w:after="0"/>
        <w:jc w:val="both"/>
      </w:pPr>
    </w:p>
    <w:p w:rsidR="00700E4F" w:rsidRDefault="00FB3E34" w:rsidP="00D72268">
      <w:pPr>
        <w:spacing w:after="0"/>
        <w:jc w:val="both"/>
      </w:pPr>
      <w:r>
        <w:t xml:space="preserve">In identifying brackish zones, </w:t>
      </w:r>
      <w:r w:rsidR="00DA1207">
        <w:t xml:space="preserve">the TWDB </w:t>
      </w:r>
      <w:r>
        <w:t xml:space="preserve">specifically </w:t>
      </w:r>
      <w:r w:rsidR="00DA1207">
        <w:t>asked for input regarding defining “</w:t>
      </w:r>
      <w:r w:rsidR="00DA1207" w:rsidRPr="00DA1207">
        <w:rPr>
          <w:i/>
        </w:rPr>
        <w:t>hydrogeologic barriers</w:t>
      </w:r>
      <w:r w:rsidR="00DA1207" w:rsidRPr="00DA1207">
        <w:t xml:space="preserve"> sufficient to prevent </w:t>
      </w:r>
      <w:r w:rsidR="00DA1207" w:rsidRPr="00DA1207">
        <w:rPr>
          <w:i/>
        </w:rPr>
        <w:t>significant impacts</w:t>
      </w:r>
      <w:r w:rsidR="00DA1207">
        <w:t>”</w:t>
      </w:r>
      <w:r>
        <w:t>.</w:t>
      </w:r>
    </w:p>
    <w:p w:rsidR="00FB3E34" w:rsidRDefault="00FB3E34" w:rsidP="00D72268">
      <w:pPr>
        <w:spacing w:after="0"/>
        <w:jc w:val="both"/>
      </w:pPr>
    </w:p>
    <w:p w:rsidR="00FB3E34" w:rsidRDefault="0074448B" w:rsidP="00D72268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San Antonio Water System (SAWS) is currently developing a brackish groundwater desalination program in southern Bexar County, with the first phase of the project online next year. </w:t>
      </w:r>
      <w:r w:rsidR="00E91628" w:rsidRPr="00E91628">
        <w:rPr>
          <w:rFonts w:ascii="Calibri" w:hAnsi="Calibri"/>
        </w:rPr>
        <w:t>SAWS spent considerable time, effort, and expense to quantify the impac</w:t>
      </w:r>
      <w:r>
        <w:rPr>
          <w:rFonts w:ascii="Calibri" w:hAnsi="Calibri"/>
        </w:rPr>
        <w:t>ts of the p</w:t>
      </w:r>
      <w:r w:rsidR="00E91628" w:rsidRPr="00E91628">
        <w:rPr>
          <w:rFonts w:ascii="Calibri" w:hAnsi="Calibri"/>
        </w:rPr>
        <w:t>rogram on others before beginning construction of the treatment facilities.  The goal of this work was to quantify and determine if these impacts were significant.</w:t>
      </w:r>
      <w:r w:rsidR="00E91628">
        <w:rPr>
          <w:rFonts w:ascii="Calibri" w:hAnsi="Calibri"/>
        </w:rPr>
        <w:t xml:space="preserve"> </w:t>
      </w:r>
      <w:r w:rsidR="00802F8F">
        <w:rPr>
          <w:rFonts w:ascii="Calibri" w:hAnsi="Calibri"/>
        </w:rPr>
        <w:t xml:space="preserve"> Ultimately, </w:t>
      </w:r>
      <w:r w:rsidR="002F70BF">
        <w:rPr>
          <w:rFonts w:ascii="Calibri" w:hAnsi="Calibri"/>
        </w:rPr>
        <w:t xml:space="preserve">SAWS determined </w:t>
      </w:r>
      <w:r w:rsidR="001510E6">
        <w:rPr>
          <w:rFonts w:ascii="Calibri" w:hAnsi="Calibri"/>
        </w:rPr>
        <w:t>that our proposed project would not have detrimental impacts</w:t>
      </w:r>
      <w:r w:rsidR="003506C9">
        <w:rPr>
          <w:rFonts w:ascii="Calibri" w:hAnsi="Calibri"/>
        </w:rPr>
        <w:t xml:space="preserve"> based on the results of the studies</w:t>
      </w:r>
      <w:r w:rsidR="002F70BF">
        <w:rPr>
          <w:rFonts w:ascii="Calibri" w:hAnsi="Calibri"/>
        </w:rPr>
        <w:t>.</w:t>
      </w:r>
      <w:r w:rsidR="00E91628">
        <w:rPr>
          <w:rFonts w:ascii="Calibri" w:hAnsi="Calibri"/>
        </w:rPr>
        <w:t xml:space="preserve"> While a determination of “significant impact” and “s</w:t>
      </w:r>
      <w:r w:rsidR="004F53F4">
        <w:rPr>
          <w:rFonts w:ascii="Calibri" w:hAnsi="Calibri"/>
        </w:rPr>
        <w:t>ufficient hydrogeologic barrier</w:t>
      </w:r>
      <w:r w:rsidR="00E91628">
        <w:rPr>
          <w:rFonts w:ascii="Calibri" w:hAnsi="Calibri"/>
        </w:rPr>
        <w:t>” is likely aquifer-specific, SAWS believes</w:t>
      </w:r>
      <w:r w:rsidR="00802F8F">
        <w:rPr>
          <w:rFonts w:ascii="Calibri" w:hAnsi="Calibri"/>
        </w:rPr>
        <w:t xml:space="preserve"> our studies are useful in identifying and designating appropriate brackish zones, particularly</w:t>
      </w:r>
      <w:r w:rsidR="00E91628">
        <w:rPr>
          <w:rFonts w:ascii="Calibri" w:hAnsi="Calibri"/>
        </w:rPr>
        <w:t xml:space="preserve"> in the Carrizo-Wilcox Aquifer.  </w:t>
      </w:r>
    </w:p>
    <w:p w:rsidR="001510E6" w:rsidRDefault="001510E6" w:rsidP="00D72268">
      <w:pPr>
        <w:spacing w:after="0"/>
        <w:jc w:val="both"/>
        <w:rPr>
          <w:rFonts w:ascii="Calibri" w:hAnsi="Calibri"/>
        </w:rPr>
      </w:pPr>
    </w:p>
    <w:p w:rsidR="001510E6" w:rsidRDefault="001510E6" w:rsidP="00D72268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Specifically, the steps SAWS took included:</w:t>
      </w:r>
    </w:p>
    <w:p w:rsidR="001510E6" w:rsidRDefault="001510E6" w:rsidP="00D72268">
      <w:pPr>
        <w:spacing w:after="0"/>
        <w:jc w:val="both"/>
        <w:rPr>
          <w:rFonts w:ascii="Calibri" w:hAnsi="Calibri"/>
        </w:rPr>
      </w:pPr>
    </w:p>
    <w:p w:rsidR="00D72268" w:rsidRPr="00D72268" w:rsidRDefault="00D72268" w:rsidP="00D72268">
      <w:pPr>
        <w:pStyle w:val="Default"/>
        <w:numPr>
          <w:ilvl w:val="0"/>
          <w:numId w:val="1"/>
        </w:numPr>
        <w:jc w:val="both"/>
        <w:rPr>
          <w:rFonts w:ascii="Calibri" w:hAnsi="Calibri"/>
          <w:color w:val="auto"/>
          <w:sz w:val="22"/>
          <w:szCs w:val="22"/>
        </w:rPr>
      </w:pPr>
      <w:r w:rsidRPr="00D72268">
        <w:rPr>
          <w:rFonts w:ascii="Calibri" w:hAnsi="Calibri"/>
          <w:color w:val="auto"/>
          <w:sz w:val="22"/>
          <w:szCs w:val="22"/>
        </w:rPr>
        <w:t>Determined the general brackish water quality in the target aquifer (Wilcox) based on a review of oilfield geophysical logs in the general area of the project.</w:t>
      </w:r>
    </w:p>
    <w:p w:rsidR="00D72268" w:rsidRPr="00D72268" w:rsidRDefault="00D72268" w:rsidP="00D72268">
      <w:pPr>
        <w:pStyle w:val="Default"/>
        <w:numPr>
          <w:ilvl w:val="0"/>
          <w:numId w:val="1"/>
        </w:numPr>
        <w:jc w:val="both"/>
        <w:rPr>
          <w:rFonts w:ascii="Calibri" w:hAnsi="Calibri"/>
          <w:color w:val="auto"/>
          <w:sz w:val="22"/>
          <w:szCs w:val="22"/>
        </w:rPr>
      </w:pPr>
      <w:r w:rsidRPr="00D72268">
        <w:rPr>
          <w:rFonts w:ascii="Calibri" w:hAnsi="Calibri"/>
          <w:color w:val="auto"/>
          <w:sz w:val="22"/>
          <w:szCs w:val="22"/>
        </w:rPr>
        <w:t>Mapped the structure and net brackish sand thickness of the brackish target aquifer.</w:t>
      </w:r>
    </w:p>
    <w:p w:rsidR="00D72268" w:rsidRPr="00D72268" w:rsidRDefault="00D72268" w:rsidP="00D72268">
      <w:pPr>
        <w:pStyle w:val="Default"/>
        <w:numPr>
          <w:ilvl w:val="0"/>
          <w:numId w:val="1"/>
        </w:numPr>
        <w:jc w:val="both"/>
        <w:rPr>
          <w:rFonts w:ascii="Calibri" w:hAnsi="Calibri"/>
          <w:color w:val="auto"/>
          <w:sz w:val="22"/>
          <w:szCs w:val="22"/>
        </w:rPr>
      </w:pPr>
      <w:r w:rsidRPr="00D72268">
        <w:rPr>
          <w:rFonts w:ascii="Calibri" w:hAnsi="Calibri"/>
          <w:color w:val="auto"/>
          <w:sz w:val="22"/>
          <w:szCs w:val="22"/>
        </w:rPr>
        <w:t>Mapped the thickness of the aquitard (barrier) between the brackish aquifer (Wilcox) and overlying freshwater aquifer (Carrizo) to establish the aerial extent of the barrier and continuity.</w:t>
      </w:r>
    </w:p>
    <w:p w:rsidR="00D72268" w:rsidRPr="00D72268" w:rsidRDefault="00D72268" w:rsidP="00D72268">
      <w:pPr>
        <w:pStyle w:val="Default"/>
        <w:numPr>
          <w:ilvl w:val="0"/>
          <w:numId w:val="1"/>
        </w:numPr>
        <w:jc w:val="both"/>
        <w:rPr>
          <w:rFonts w:ascii="Calibri" w:hAnsi="Calibri"/>
          <w:color w:val="auto"/>
          <w:sz w:val="22"/>
          <w:szCs w:val="22"/>
        </w:rPr>
      </w:pPr>
      <w:r w:rsidRPr="00D72268">
        <w:rPr>
          <w:rFonts w:ascii="Calibri" w:hAnsi="Calibri"/>
          <w:color w:val="auto"/>
          <w:sz w:val="22"/>
          <w:szCs w:val="22"/>
        </w:rPr>
        <w:t>Conducted 48-hour pump testing of the brackish aquifer (Wilcox) while concurrently monitoring the water levels of the freshwater aquifer (Carrizo) and saw no water level decline during the pumping period.</w:t>
      </w:r>
    </w:p>
    <w:p w:rsidR="00D72268" w:rsidRPr="00D72268" w:rsidRDefault="00D72268" w:rsidP="00D72268">
      <w:pPr>
        <w:pStyle w:val="Default"/>
        <w:numPr>
          <w:ilvl w:val="0"/>
          <w:numId w:val="1"/>
        </w:numPr>
        <w:jc w:val="both"/>
        <w:rPr>
          <w:rFonts w:ascii="Calibri" w:hAnsi="Calibri"/>
          <w:color w:val="auto"/>
          <w:sz w:val="22"/>
          <w:szCs w:val="22"/>
        </w:rPr>
      </w:pPr>
      <w:r w:rsidRPr="00D72268">
        <w:rPr>
          <w:rFonts w:ascii="Calibri" w:hAnsi="Calibri"/>
          <w:color w:val="auto"/>
          <w:sz w:val="22"/>
          <w:szCs w:val="22"/>
        </w:rPr>
        <w:lastRenderedPageBreak/>
        <w:t>Conducted hydrologic modeling of the Carrizo-Wilcox based on pump test data to determine the potential water level decline (impact to the Carrizo) in the overall project area considering pumping would be for a period of 50 years.</w:t>
      </w:r>
    </w:p>
    <w:p w:rsidR="00D72268" w:rsidRPr="00D72268" w:rsidRDefault="0074448B" w:rsidP="00D72268">
      <w:pPr>
        <w:pStyle w:val="Default"/>
        <w:numPr>
          <w:ilvl w:val="0"/>
          <w:numId w:val="1"/>
        </w:numPr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Provided geologic/hydrologic/water chemistry/</w:t>
      </w:r>
      <w:r w:rsidR="00D72268" w:rsidRPr="00D72268">
        <w:rPr>
          <w:rFonts w:ascii="Calibri" w:hAnsi="Calibri"/>
          <w:color w:val="auto"/>
          <w:sz w:val="22"/>
          <w:szCs w:val="22"/>
        </w:rPr>
        <w:t>geophysical log data to the TWDB (B</w:t>
      </w:r>
      <w:r w:rsidR="00D72268">
        <w:rPr>
          <w:rFonts w:ascii="Calibri" w:hAnsi="Calibri"/>
          <w:color w:val="auto"/>
          <w:sz w:val="22"/>
          <w:szCs w:val="22"/>
        </w:rPr>
        <w:t xml:space="preserve">rackish Resources </w:t>
      </w:r>
      <w:r w:rsidR="00D72268" w:rsidRPr="00D72268">
        <w:rPr>
          <w:rFonts w:ascii="Calibri" w:hAnsi="Calibri"/>
          <w:color w:val="auto"/>
          <w:sz w:val="22"/>
          <w:szCs w:val="22"/>
        </w:rPr>
        <w:t>A</w:t>
      </w:r>
      <w:r w:rsidR="00D72268">
        <w:rPr>
          <w:rFonts w:ascii="Calibri" w:hAnsi="Calibri"/>
          <w:color w:val="auto"/>
          <w:sz w:val="22"/>
          <w:szCs w:val="22"/>
        </w:rPr>
        <w:t xml:space="preserve">quifer </w:t>
      </w:r>
      <w:r w:rsidR="00D72268" w:rsidRPr="00D72268">
        <w:rPr>
          <w:rFonts w:ascii="Calibri" w:hAnsi="Calibri"/>
          <w:color w:val="auto"/>
          <w:sz w:val="22"/>
          <w:szCs w:val="22"/>
        </w:rPr>
        <w:t>C</w:t>
      </w:r>
      <w:r w:rsidR="00D72268">
        <w:rPr>
          <w:rFonts w:ascii="Calibri" w:hAnsi="Calibri"/>
          <w:color w:val="auto"/>
          <w:sz w:val="22"/>
          <w:szCs w:val="22"/>
        </w:rPr>
        <w:t xml:space="preserve">haracterization </w:t>
      </w:r>
      <w:r w:rsidR="00D72268" w:rsidRPr="00D72268">
        <w:rPr>
          <w:rFonts w:ascii="Calibri" w:hAnsi="Calibri"/>
          <w:color w:val="auto"/>
          <w:sz w:val="22"/>
          <w:szCs w:val="22"/>
        </w:rPr>
        <w:t>S</w:t>
      </w:r>
      <w:r w:rsidR="00D72268">
        <w:rPr>
          <w:rFonts w:ascii="Calibri" w:hAnsi="Calibri"/>
          <w:color w:val="auto"/>
          <w:sz w:val="22"/>
          <w:szCs w:val="22"/>
        </w:rPr>
        <w:t>ystem</w:t>
      </w:r>
      <w:r w:rsidR="003B492A">
        <w:rPr>
          <w:rFonts w:ascii="Calibri" w:hAnsi="Calibri"/>
          <w:color w:val="auto"/>
          <w:sz w:val="22"/>
          <w:szCs w:val="22"/>
        </w:rPr>
        <w:t xml:space="preserve"> (BRACS) Program</w:t>
      </w:r>
      <w:r w:rsidR="00D72268" w:rsidRPr="00D72268">
        <w:rPr>
          <w:rFonts w:ascii="Calibri" w:hAnsi="Calibri"/>
          <w:color w:val="auto"/>
          <w:sz w:val="22"/>
          <w:szCs w:val="22"/>
        </w:rPr>
        <w:t xml:space="preserve">) </w:t>
      </w:r>
    </w:p>
    <w:p w:rsidR="00D72268" w:rsidRPr="00D72268" w:rsidRDefault="00D72268" w:rsidP="00D72268">
      <w:pPr>
        <w:pStyle w:val="Default"/>
        <w:numPr>
          <w:ilvl w:val="0"/>
          <w:numId w:val="1"/>
        </w:numPr>
        <w:jc w:val="both"/>
        <w:rPr>
          <w:rFonts w:ascii="Calibri" w:hAnsi="Calibri"/>
          <w:color w:val="auto"/>
          <w:sz w:val="22"/>
          <w:szCs w:val="22"/>
        </w:rPr>
      </w:pPr>
      <w:r w:rsidRPr="00D72268">
        <w:rPr>
          <w:rFonts w:ascii="Calibri" w:hAnsi="Calibri"/>
          <w:color w:val="auto"/>
          <w:sz w:val="22"/>
          <w:szCs w:val="22"/>
        </w:rPr>
        <w:t>Considered the available options for concentrate disposal and chose a Class I Injection well over disposal in a surface water body to minimize impacts to others and the environment.</w:t>
      </w:r>
    </w:p>
    <w:p w:rsidR="00D72268" w:rsidRPr="001C2E3C" w:rsidRDefault="00D72268" w:rsidP="00D72268">
      <w:pPr>
        <w:pStyle w:val="Default"/>
        <w:ind w:left="720"/>
        <w:rPr>
          <w:rFonts w:ascii="Calibri" w:hAnsi="Calibri"/>
          <w:color w:val="2F5496" w:themeColor="accent5" w:themeShade="BF"/>
          <w:sz w:val="22"/>
          <w:szCs w:val="22"/>
        </w:rPr>
      </w:pPr>
    </w:p>
    <w:p w:rsidR="003B492A" w:rsidRDefault="00E91628" w:rsidP="00D72268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The above represen</w:t>
      </w:r>
      <w:r w:rsidR="00174400">
        <w:rPr>
          <w:rFonts w:ascii="Calibri" w:hAnsi="Calibri"/>
        </w:rPr>
        <w:t>ts a brief overview of our study process</w:t>
      </w:r>
      <w:r>
        <w:rPr>
          <w:rFonts w:ascii="Calibri" w:hAnsi="Calibri"/>
        </w:rPr>
        <w:t xml:space="preserve">.  </w:t>
      </w:r>
      <w:r w:rsidR="00D72268">
        <w:rPr>
          <w:rFonts w:ascii="Calibri" w:hAnsi="Calibri"/>
        </w:rPr>
        <w:t>As noted above, t</w:t>
      </w:r>
      <w:r>
        <w:rPr>
          <w:rFonts w:ascii="Calibri" w:hAnsi="Calibri"/>
        </w:rPr>
        <w:t>he results</w:t>
      </w:r>
      <w:r w:rsidR="00D72268">
        <w:rPr>
          <w:rFonts w:ascii="Calibri" w:hAnsi="Calibri"/>
        </w:rPr>
        <w:t xml:space="preserve"> were shared with the TWDB (through the </w:t>
      </w:r>
      <w:r w:rsidR="003B492A">
        <w:rPr>
          <w:rFonts w:ascii="Calibri" w:hAnsi="Calibri"/>
        </w:rPr>
        <w:t>BRACS Program)</w:t>
      </w:r>
      <w:r>
        <w:rPr>
          <w:rFonts w:ascii="Calibri" w:hAnsi="Calibri"/>
        </w:rPr>
        <w:t xml:space="preserve"> but </w:t>
      </w:r>
      <w:r w:rsidR="003B492A">
        <w:rPr>
          <w:rFonts w:ascii="Calibri" w:hAnsi="Calibri"/>
        </w:rPr>
        <w:t xml:space="preserve">we </w:t>
      </w:r>
      <w:r w:rsidR="00174400">
        <w:rPr>
          <w:rFonts w:ascii="Calibri" w:hAnsi="Calibri"/>
        </w:rPr>
        <w:t>would be happy to provide specific data or discuss the above items in greater detail with TWDB staff and consultants</w:t>
      </w:r>
      <w:r w:rsidR="003B492A">
        <w:rPr>
          <w:rFonts w:ascii="Calibri" w:hAnsi="Calibri"/>
        </w:rPr>
        <w:t>.</w:t>
      </w:r>
      <w:r w:rsidR="00174400">
        <w:rPr>
          <w:rFonts w:ascii="Calibri" w:hAnsi="Calibri"/>
        </w:rPr>
        <w:t xml:space="preserve"> </w:t>
      </w:r>
      <w:r w:rsidR="003B492A">
        <w:rPr>
          <w:rFonts w:ascii="Calibri" w:hAnsi="Calibri"/>
        </w:rPr>
        <w:t>SAWS appreciates the opportunity to work with the TWDB throughout the study process and stand ready to assist in any way.</w:t>
      </w:r>
    </w:p>
    <w:p w:rsidR="003B492A" w:rsidRDefault="00174400" w:rsidP="00D72268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3B492A" w:rsidRDefault="003B492A" w:rsidP="00D72268">
      <w:pPr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Sincerely,</w:t>
      </w:r>
    </w:p>
    <w:p w:rsidR="003B492A" w:rsidRDefault="003B492A" w:rsidP="00D72268">
      <w:pPr>
        <w:spacing w:after="0"/>
        <w:jc w:val="both"/>
        <w:rPr>
          <w:rFonts w:ascii="Calibri" w:hAnsi="Calibri"/>
        </w:rPr>
      </w:pPr>
    </w:p>
    <w:p w:rsidR="00E91628" w:rsidRPr="00E91628" w:rsidRDefault="00C47F23" w:rsidP="00D72268">
      <w:pPr>
        <w:spacing w:after="0"/>
        <w:jc w:val="both"/>
      </w:pPr>
      <w:r w:rsidRPr="00C47F23">
        <w:rPr>
          <w:rFonts w:ascii="Calibri" w:hAnsi="Calibri"/>
          <w:noProof/>
        </w:rPr>
        <w:drawing>
          <wp:inline distT="0" distB="0" distL="0" distR="0">
            <wp:extent cx="1187450" cy="31127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975" cy="330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1628" w:rsidRPr="00E916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962C9"/>
    <w:multiLevelType w:val="hybridMultilevel"/>
    <w:tmpl w:val="DC8A5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228"/>
    <w:rsid w:val="0004057B"/>
    <w:rsid w:val="001510E6"/>
    <w:rsid w:val="00174400"/>
    <w:rsid w:val="002C0FE2"/>
    <w:rsid w:val="002F70BF"/>
    <w:rsid w:val="003506C9"/>
    <w:rsid w:val="003B492A"/>
    <w:rsid w:val="00422DA3"/>
    <w:rsid w:val="00496186"/>
    <w:rsid w:val="004F53F4"/>
    <w:rsid w:val="00700E4F"/>
    <w:rsid w:val="0074448B"/>
    <w:rsid w:val="00802F8F"/>
    <w:rsid w:val="00A6695A"/>
    <w:rsid w:val="00B6257B"/>
    <w:rsid w:val="00C47F23"/>
    <w:rsid w:val="00C750AD"/>
    <w:rsid w:val="00D72268"/>
    <w:rsid w:val="00DA1207"/>
    <w:rsid w:val="00E24398"/>
    <w:rsid w:val="00E63689"/>
    <w:rsid w:val="00E91628"/>
    <w:rsid w:val="00EB3228"/>
    <w:rsid w:val="00EF1AA6"/>
    <w:rsid w:val="00FB3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D72268"/>
    <w:pPr>
      <w:autoSpaceDE w:val="0"/>
      <w:autoSpaceDN w:val="0"/>
      <w:spacing w:after="0" w:line="240" w:lineRule="auto"/>
    </w:pPr>
    <w:rPr>
      <w:rFonts w:ascii="Franklin Gothic Book" w:hAnsi="Franklin Gothic Book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5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D72268"/>
    <w:pPr>
      <w:autoSpaceDE w:val="0"/>
      <w:autoSpaceDN w:val="0"/>
      <w:spacing w:after="0" w:line="240" w:lineRule="auto"/>
    </w:pPr>
    <w:rPr>
      <w:rFonts w:ascii="Franklin Gothic Book" w:hAnsi="Franklin Gothic Book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2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25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F288D-26A9-4281-99D8-0A8A428FB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2811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SAWS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Hope Wells E</dc:creator>
  <cp:lastModifiedBy>Sanjeev Kalaswad</cp:lastModifiedBy>
  <cp:revision>2</cp:revision>
  <dcterms:created xsi:type="dcterms:W3CDTF">2015-12-01T12:54:00Z</dcterms:created>
  <dcterms:modified xsi:type="dcterms:W3CDTF">2015-12-01T12:54:00Z</dcterms:modified>
</cp:coreProperties>
</file>