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EE1BE" w14:textId="77777777" w:rsidR="00E21CF3" w:rsidRPr="009A0C1C" w:rsidRDefault="00E21CF3" w:rsidP="009A0C1C">
      <w:pPr>
        <w:jc w:val="center"/>
        <w:rPr>
          <w:b/>
          <w:bCs/>
          <w:sz w:val="36"/>
          <w:szCs w:val="36"/>
        </w:rPr>
      </w:pPr>
      <w:r w:rsidRPr="009A0C1C">
        <w:rPr>
          <w:b/>
          <w:bCs/>
          <w:sz w:val="36"/>
          <w:szCs w:val="36"/>
        </w:rPr>
        <w:t>Frequently Asked Questions (FAQ)</w:t>
      </w:r>
    </w:p>
    <w:p w14:paraId="4936FC88" w14:textId="77777777" w:rsidR="00E21CF3" w:rsidRPr="0076731D" w:rsidRDefault="00E21CF3" w:rsidP="00E21CF3">
      <w:pPr>
        <w:rPr>
          <w:b/>
          <w:bCs/>
        </w:rPr>
      </w:pPr>
      <w:r w:rsidRPr="0076731D">
        <w:rPr>
          <w:b/>
          <w:bCs/>
        </w:rPr>
        <w:t>Q. Now that we’ve been approved by the TWDB Board, what are the next steps?</w:t>
      </w:r>
    </w:p>
    <w:p w14:paraId="5D82C452" w14:textId="4CC11DD4" w:rsidR="00E21CF3" w:rsidRPr="0076731D" w:rsidRDefault="00E21CF3" w:rsidP="00E21CF3">
      <w:r w:rsidRPr="3ACF127C">
        <w:rPr>
          <w:b/>
          <w:bCs/>
        </w:rPr>
        <w:t>A.</w:t>
      </w:r>
      <w:r>
        <w:t xml:space="preserve"> Once your project has been approved by the TWDB Board, you will receive a </w:t>
      </w:r>
      <w:r w:rsidRPr="3ACF127C">
        <w:rPr>
          <w:b/>
          <w:bCs/>
        </w:rPr>
        <w:t>Board Action Letter</w:t>
      </w:r>
      <w:r>
        <w:t xml:space="preserve">. This letter will outline the next steps in the closing process and identify the staff assigned to your commitment.  Additional closing information </w:t>
      </w:r>
      <w:r w:rsidR="009A0C1C">
        <w:t>is available</w:t>
      </w:r>
      <w:r>
        <w:t xml:space="preserve"> on the </w:t>
      </w:r>
      <w:r w:rsidRPr="3ACF127C">
        <w:rPr>
          <w:b/>
          <w:bCs/>
        </w:rPr>
        <w:t>Financial Assistance webpage</w:t>
      </w:r>
      <w:r>
        <w:t>.</w:t>
      </w:r>
    </w:p>
    <w:p w14:paraId="01B12014" w14:textId="77777777" w:rsidR="00E21CF3" w:rsidRPr="0076731D" w:rsidRDefault="00E21CF3" w:rsidP="00E21CF3">
      <w:pPr>
        <w:rPr>
          <w:b/>
          <w:bCs/>
        </w:rPr>
      </w:pPr>
      <w:r w:rsidRPr="0076731D">
        <w:rPr>
          <w:b/>
          <w:bCs/>
        </w:rPr>
        <w:t xml:space="preserve">Q. What is </w:t>
      </w:r>
      <w:proofErr w:type="gramStart"/>
      <w:r w:rsidRPr="0076731D">
        <w:rPr>
          <w:b/>
          <w:bCs/>
        </w:rPr>
        <w:t>an</w:t>
      </w:r>
      <w:proofErr w:type="gramEnd"/>
      <w:r w:rsidRPr="0076731D">
        <w:rPr>
          <w:b/>
          <w:bCs/>
        </w:rPr>
        <w:t xml:space="preserve"> adoption date?</w:t>
      </w:r>
    </w:p>
    <w:p w14:paraId="0328427C" w14:textId="77777777" w:rsidR="00E21CF3" w:rsidRPr="0076731D" w:rsidRDefault="00E21CF3" w:rsidP="00E21CF3">
      <w:r w:rsidRPr="0076731D">
        <w:rPr>
          <w:b/>
          <w:bCs/>
        </w:rPr>
        <w:t>A.</w:t>
      </w:r>
      <w:r w:rsidRPr="0076731D">
        <w:t xml:space="preserve"> An adoption date is the date your governing body formally approves the resolution and authorizes a representative to execute documents related to the grant or principal forgiveness commitment. For bond commitments, the adoption date is when the City Council, Board, or other governing authority approves the issuance of the bonds.</w:t>
      </w:r>
    </w:p>
    <w:p w14:paraId="38F7979A" w14:textId="77777777" w:rsidR="00E21CF3" w:rsidRPr="0076731D" w:rsidRDefault="00E21CF3" w:rsidP="00E21CF3">
      <w:pPr>
        <w:rPr>
          <w:b/>
          <w:bCs/>
        </w:rPr>
      </w:pPr>
      <w:r w:rsidRPr="0076731D">
        <w:rPr>
          <w:b/>
          <w:bCs/>
        </w:rPr>
        <w:t>Q. How long does it take to close a commitment?</w:t>
      </w:r>
    </w:p>
    <w:p w14:paraId="0D7FCA96" w14:textId="77777777" w:rsidR="00E21CF3" w:rsidRPr="0076731D" w:rsidRDefault="00E21CF3" w:rsidP="00E21CF3">
      <w:r w:rsidRPr="0076731D">
        <w:rPr>
          <w:b/>
          <w:bCs/>
        </w:rPr>
        <w:t>A.</w:t>
      </w:r>
      <w:r w:rsidRPr="0076731D">
        <w:t xml:space="preserve"> The closing process typically takes approximately </w:t>
      </w:r>
      <w:r w:rsidRPr="0076731D">
        <w:rPr>
          <w:b/>
          <w:bCs/>
        </w:rPr>
        <w:t>55 days</w:t>
      </w:r>
      <w:r w:rsidRPr="0076731D">
        <w:t xml:space="preserve"> from </w:t>
      </w:r>
      <w:r>
        <w:t>receiving the closing timeline</w:t>
      </w:r>
      <w:r w:rsidRPr="0076731D">
        <w:t xml:space="preserve"> to closing, depending on the type of commitment. Grants and Principal Forgiveness commitments may close more quickly, while Bonds and Loan Agreements</w:t>
      </w:r>
      <w:r>
        <w:t xml:space="preserve"> may </w:t>
      </w:r>
      <w:r w:rsidRPr="0076731D">
        <w:t>require additional time.</w:t>
      </w:r>
    </w:p>
    <w:p w14:paraId="7A8B9596" w14:textId="77777777" w:rsidR="00E21CF3" w:rsidRPr="0076731D" w:rsidRDefault="00E21CF3" w:rsidP="00E21CF3">
      <w:pPr>
        <w:rPr>
          <w:b/>
          <w:bCs/>
        </w:rPr>
      </w:pPr>
      <w:r w:rsidRPr="0076731D">
        <w:rPr>
          <w:b/>
          <w:bCs/>
        </w:rPr>
        <w:t>Q. Am I required to have an escrow account, and can I use my local bank?</w:t>
      </w:r>
    </w:p>
    <w:p w14:paraId="57F68511" w14:textId="77777777" w:rsidR="00E21CF3" w:rsidRPr="0076731D" w:rsidRDefault="00E21CF3" w:rsidP="00E21CF3">
      <w:r w:rsidRPr="0076731D">
        <w:rPr>
          <w:b/>
          <w:bCs/>
        </w:rPr>
        <w:t>A.</w:t>
      </w:r>
      <w:r w:rsidRPr="0076731D">
        <w:t xml:space="preserve"> Yes, an escrow account is required for most programs, with only limited exceptions. The escrow bank must be listed on the </w:t>
      </w:r>
      <w:r w:rsidRPr="0076731D">
        <w:rPr>
          <w:b/>
          <w:bCs/>
        </w:rPr>
        <w:t>State Depository List</w:t>
      </w:r>
      <w:r w:rsidRPr="0076731D">
        <w:t xml:space="preserve"> approved by the Texas Comptroller’s Office. A TWDB Loan Specialist or Financial Analyst can verify whether your preferred bank is eligible.</w:t>
      </w:r>
    </w:p>
    <w:p w14:paraId="6D9722BB" w14:textId="77777777" w:rsidR="00E21CF3" w:rsidRPr="0076731D" w:rsidRDefault="00E21CF3" w:rsidP="00E21CF3">
      <w:pPr>
        <w:rPr>
          <w:b/>
          <w:bCs/>
        </w:rPr>
      </w:pPr>
      <w:r w:rsidRPr="0076731D">
        <w:rPr>
          <w:b/>
          <w:bCs/>
        </w:rPr>
        <w:t xml:space="preserve">Q. What happens if I miss a deadline </w:t>
      </w:r>
      <w:r>
        <w:rPr>
          <w:b/>
          <w:bCs/>
        </w:rPr>
        <w:t>and</w:t>
      </w:r>
      <w:r w:rsidRPr="0076731D">
        <w:rPr>
          <w:b/>
          <w:bCs/>
        </w:rPr>
        <w:t xml:space="preserve"> submit documents late?</w:t>
      </w:r>
    </w:p>
    <w:p w14:paraId="5A1C47C8" w14:textId="5C4B7921" w:rsidR="00E21CF3" w:rsidRPr="0076731D" w:rsidRDefault="00E21CF3" w:rsidP="00E21CF3">
      <w:r w:rsidRPr="4754E11B">
        <w:rPr>
          <w:b/>
          <w:bCs/>
        </w:rPr>
        <w:t>A.</w:t>
      </w:r>
      <w:r>
        <w:t xml:space="preserve"> Deadlines are critical to keeping your closing on schedule. Late document submissions may delay the closing process and could result in your closing date being rescheduled. Due to the high volume of </w:t>
      </w:r>
      <w:proofErr w:type="gramStart"/>
      <w:r>
        <w:t>closings</w:t>
      </w:r>
      <w:proofErr w:type="gramEnd"/>
      <w:r>
        <w:t xml:space="preserve"> and strict processing timelines, timely submission of all required documents is essential.</w:t>
      </w:r>
    </w:p>
    <w:p w14:paraId="09FABA92" w14:textId="77777777" w:rsidR="00E21CF3" w:rsidRPr="0076731D" w:rsidRDefault="00E21CF3" w:rsidP="00E21CF3">
      <w:pPr>
        <w:rPr>
          <w:b/>
          <w:bCs/>
        </w:rPr>
      </w:pPr>
      <w:r w:rsidRPr="0076731D">
        <w:rPr>
          <w:b/>
          <w:bCs/>
        </w:rPr>
        <w:t>Q. Is my physical presence required on the closing date?</w:t>
      </w:r>
    </w:p>
    <w:p w14:paraId="247C2651" w14:textId="2DBE7430" w:rsidR="00D12984" w:rsidRDefault="00E21CF3">
      <w:r w:rsidRPr="4754E11B">
        <w:rPr>
          <w:b/>
          <w:bCs/>
        </w:rPr>
        <w:t>A.</w:t>
      </w:r>
      <w:r>
        <w:t xml:space="preserve"> No. All closing documents are signed and submitted electronically before the closing date. However, the point of contact identified in the Closing Memo must be available by email on the day of closing to address any issues that may arise. To help prevent wire fraud, the TWDB Closing Team will communicate only with the designated point of contact. Therefore, it is important that this individual remains accessible throughout the closing process.</w:t>
      </w:r>
    </w:p>
    <w:sectPr w:rsidR="00D12984" w:rsidSect="00647022">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CF3"/>
    <w:rsid w:val="00092F9F"/>
    <w:rsid w:val="00251F15"/>
    <w:rsid w:val="00327146"/>
    <w:rsid w:val="00647022"/>
    <w:rsid w:val="009A0C1C"/>
    <w:rsid w:val="009A5915"/>
    <w:rsid w:val="00BC1D57"/>
    <w:rsid w:val="00C32BFB"/>
    <w:rsid w:val="00D12984"/>
    <w:rsid w:val="00D311D2"/>
    <w:rsid w:val="00E21CF3"/>
    <w:rsid w:val="00ED1413"/>
    <w:rsid w:val="00F1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10AF8"/>
  <w15:chartTrackingRefBased/>
  <w15:docId w15:val="{DDADD831-FCFE-4014-8A12-7E466281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CF3"/>
  </w:style>
  <w:style w:type="paragraph" w:styleId="Heading1">
    <w:name w:val="heading 1"/>
    <w:basedOn w:val="Normal"/>
    <w:next w:val="Normal"/>
    <w:link w:val="Heading1Char"/>
    <w:uiPriority w:val="9"/>
    <w:qFormat/>
    <w:rsid w:val="00E21C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C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C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C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C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C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C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C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C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C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C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C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C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C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C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C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C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CF3"/>
    <w:rPr>
      <w:rFonts w:eastAsiaTheme="majorEastAsia" w:cstheme="majorBidi"/>
      <w:color w:val="272727" w:themeColor="text1" w:themeTint="D8"/>
    </w:rPr>
  </w:style>
  <w:style w:type="paragraph" w:styleId="Title">
    <w:name w:val="Title"/>
    <w:basedOn w:val="Normal"/>
    <w:next w:val="Normal"/>
    <w:link w:val="TitleChar"/>
    <w:uiPriority w:val="10"/>
    <w:qFormat/>
    <w:rsid w:val="00E21C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C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C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C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CF3"/>
    <w:pPr>
      <w:spacing w:before="160"/>
      <w:jc w:val="center"/>
    </w:pPr>
    <w:rPr>
      <w:i/>
      <w:iCs/>
      <w:color w:val="404040" w:themeColor="text1" w:themeTint="BF"/>
    </w:rPr>
  </w:style>
  <w:style w:type="character" w:customStyle="1" w:styleId="QuoteChar">
    <w:name w:val="Quote Char"/>
    <w:basedOn w:val="DefaultParagraphFont"/>
    <w:link w:val="Quote"/>
    <w:uiPriority w:val="29"/>
    <w:rsid w:val="00E21CF3"/>
    <w:rPr>
      <w:i/>
      <w:iCs/>
      <w:color w:val="404040" w:themeColor="text1" w:themeTint="BF"/>
    </w:rPr>
  </w:style>
  <w:style w:type="paragraph" w:styleId="ListParagraph">
    <w:name w:val="List Paragraph"/>
    <w:basedOn w:val="Normal"/>
    <w:uiPriority w:val="34"/>
    <w:qFormat/>
    <w:rsid w:val="00E21CF3"/>
    <w:pPr>
      <w:ind w:left="720"/>
      <w:contextualSpacing/>
    </w:pPr>
  </w:style>
  <w:style w:type="character" w:styleId="IntenseEmphasis">
    <w:name w:val="Intense Emphasis"/>
    <w:basedOn w:val="DefaultParagraphFont"/>
    <w:uiPriority w:val="21"/>
    <w:qFormat/>
    <w:rsid w:val="00E21CF3"/>
    <w:rPr>
      <w:i/>
      <w:iCs/>
      <w:color w:val="0F4761" w:themeColor="accent1" w:themeShade="BF"/>
    </w:rPr>
  </w:style>
  <w:style w:type="paragraph" w:styleId="IntenseQuote">
    <w:name w:val="Intense Quote"/>
    <w:basedOn w:val="Normal"/>
    <w:next w:val="Normal"/>
    <w:link w:val="IntenseQuoteChar"/>
    <w:uiPriority w:val="30"/>
    <w:qFormat/>
    <w:rsid w:val="00E21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CF3"/>
    <w:rPr>
      <w:i/>
      <w:iCs/>
      <w:color w:val="0F4761" w:themeColor="accent1" w:themeShade="BF"/>
    </w:rPr>
  </w:style>
  <w:style w:type="character" w:styleId="IntenseReference">
    <w:name w:val="Intense Reference"/>
    <w:basedOn w:val="DefaultParagraphFont"/>
    <w:uiPriority w:val="32"/>
    <w:qFormat/>
    <w:rsid w:val="00E21CF3"/>
    <w:rPr>
      <w:b/>
      <w:bCs/>
      <w:smallCaps/>
      <w:color w:val="0F4761" w:themeColor="accent1" w:themeShade="BF"/>
      <w:spacing w:val="5"/>
    </w:rPr>
  </w:style>
  <w:style w:type="character" w:styleId="CommentReference">
    <w:name w:val="annotation reference"/>
    <w:basedOn w:val="DefaultParagraphFont"/>
    <w:uiPriority w:val="99"/>
    <w:semiHidden/>
    <w:unhideWhenUsed/>
    <w:rsid w:val="00E21CF3"/>
    <w:rPr>
      <w:sz w:val="16"/>
      <w:szCs w:val="16"/>
    </w:rPr>
  </w:style>
  <w:style w:type="paragraph" w:styleId="CommentText">
    <w:name w:val="annotation text"/>
    <w:basedOn w:val="Normal"/>
    <w:link w:val="CommentTextChar"/>
    <w:uiPriority w:val="99"/>
    <w:unhideWhenUsed/>
    <w:rsid w:val="00E21CF3"/>
    <w:pPr>
      <w:spacing w:line="240" w:lineRule="auto"/>
    </w:pPr>
    <w:rPr>
      <w:sz w:val="20"/>
      <w:szCs w:val="20"/>
    </w:rPr>
  </w:style>
  <w:style w:type="character" w:customStyle="1" w:styleId="CommentTextChar">
    <w:name w:val="Comment Text Char"/>
    <w:basedOn w:val="DefaultParagraphFont"/>
    <w:link w:val="CommentText"/>
    <w:uiPriority w:val="99"/>
    <w:rsid w:val="00E21CF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1978</Characters>
  <Application>Microsoft Office Word</Application>
  <DocSecurity>0</DocSecurity>
  <Lines>16</Lines>
  <Paragraphs>4</Paragraphs>
  <ScaleCrop>false</ScaleCrop>
  <Company>Texas Water Development Board</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Racquel McCoy</dc:creator>
  <cp:keywords/>
  <dc:description/>
  <cp:lastModifiedBy>Racquel McCoy</cp:lastModifiedBy>
  <cp:revision>3</cp:revision>
  <dcterms:created xsi:type="dcterms:W3CDTF">2026-10-06T18:41:00Z</dcterms:created>
  <dcterms:modified xsi:type="dcterms:W3CDTF">2026-10-06T18:41:00Z</dcterms:modified>
</cp:coreProperties>
</file>